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001-42395</w:t>
        </w:r>
      </w:hyperlink>
    </w:p>
    <w:p>
      <w:pPr>
        <w:spacing w:after="0" w:line="136" w:lineRule="exact"/>
        <w:rPr>
          <w:sz w:val="24"/>
          <w:szCs w:val="24"/>
          <w:color w:val="auto"/>
        </w:rPr>
      </w:pPr>
    </w:p>
    <w:p>
      <w:pPr>
        <w:ind w:left="3340"/>
        <w:spacing w:after="0"/>
        <w:tabs>
          <w:tab w:leader="none" w:pos="42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Twin Hospitality Group Inc.</w:t>
        </w:r>
      </w:hyperlink>
    </w:p>
    <w:p>
      <w:pPr>
        <w:spacing w:after="0" w:line="5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80"/>
        <w:spacing w:after="0"/>
        <w:tabs>
          <w:tab w:leader="none" w:pos="4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5151 Belt Line Road, Suite 1200</w:t>
      </w:r>
    </w:p>
    <w:p>
      <w:pPr>
        <w:spacing w:after="0" w:line="62" w:lineRule="exact"/>
        <w:rPr>
          <w:sz w:val="24"/>
          <w:szCs w:val="24"/>
          <w:color w:val="auto"/>
        </w:rPr>
      </w:pPr>
    </w:p>
    <w:tbl>
      <w:tblPr>
        <w:tblLayout w:type="fixed"/>
        <w:tblInd w:w="2480" w:type="dxa"/>
        <w:tblCellMar>
          <w:top w:w="0" w:type="dxa"/>
          <w:left w:w="0" w:type="dxa"/>
          <w:bottom w:w="0" w:type="dxa"/>
          <w:right w:w="0" w:type="dxa"/>
        </w:tblCellMar>
      </w:tblPr>
      <w:tr>
        <w:trPr>
          <w:trHeight w:val="228"/>
        </w:trPr>
        <w:tc>
          <w:tcPr>
            <w:tcW w:w="3020" w:type="dxa"/>
            <w:vAlign w:val="bottom"/>
          </w:tcPr>
          <w:p>
            <w:pPr>
              <w:ind w:left="1580"/>
              <w:spacing w:after="0"/>
              <w:rPr>
                <w:sz w:val="20"/>
                <w:szCs w:val="20"/>
                <w:color w:val="auto"/>
              </w:rPr>
            </w:pPr>
            <w:r>
              <w:rPr>
                <w:rFonts w:ascii="Times New Roman" w:cs="Times New Roman" w:eastAsia="Times New Roman" w:hAnsi="Times New Roman"/>
                <w:sz w:val="18"/>
                <w:szCs w:val="18"/>
                <w:color w:val="0000FF"/>
              </w:rPr>
              <w:t>Dallas   TEXAS</w:t>
            </w:r>
          </w:p>
        </w:tc>
        <w:tc>
          <w:tcPr>
            <w:tcW w:w="2020" w:type="dxa"/>
            <w:vAlign w:val="bottom"/>
          </w:tcPr>
          <w:p>
            <w:pPr>
              <w:jc w:val="right"/>
              <w:ind w:right="1312"/>
              <w:spacing w:after="0"/>
              <w:rPr>
                <w:sz w:val="20"/>
                <w:szCs w:val="20"/>
                <w:color w:val="auto"/>
              </w:rPr>
            </w:pPr>
            <w:r>
              <w:rPr>
                <w:rFonts w:ascii="Times New Roman" w:cs="Times New Roman" w:eastAsia="Times New Roman" w:hAnsi="Times New Roman"/>
                <w:sz w:val="18"/>
                <w:szCs w:val="18"/>
                <w:color w:val="0000FF"/>
              </w:rPr>
              <w:t>75254</w:t>
            </w:r>
          </w:p>
        </w:tc>
      </w:tr>
      <w:tr>
        <w:trPr>
          <w:trHeight w:val="274"/>
        </w:trPr>
        <w:tc>
          <w:tcPr>
            <w:tcW w:w="3020" w:type="dxa"/>
            <w:vAlign w:val="bottom"/>
          </w:tcPr>
          <w:p>
            <w:pPr>
              <w:spacing w:after="0"/>
              <w:rPr>
                <w:sz w:val="20"/>
                <w:szCs w:val="20"/>
                <w:color w:val="auto"/>
              </w:rPr>
            </w:pPr>
            <w:r>
              <w:rPr>
                <w:rFonts w:ascii="Arial" w:cs="Arial" w:eastAsia="Arial" w:hAnsi="Arial"/>
                <w:sz w:val="18"/>
                <w:szCs w:val="18"/>
                <w:color w:val="auto"/>
              </w:rPr>
              <w:t>Telephone number: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(678) 227-3209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2026-06-04</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307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May 11, 2026 Twin Hospitality Group Inc.</w:t>
      </w:r>
    </w:p>
    <w:p>
      <w:pPr>
        <w:ind w:right="29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Class A Common Stock of Twin Hospitality Group Inc. effective at the opening of the trading session on June 15, 2026. Based on review of information provided by the Company,</w:t>
      </w:r>
    </w:p>
    <w:p>
      <w:pPr>
        <w:spacing w:after="0" w:line="1" w:lineRule="exact"/>
        <w:rPr>
          <w:sz w:val="20"/>
          <w:szCs w:val="20"/>
          <w:color w:val="auto"/>
        </w:rPr>
      </w:pPr>
    </w:p>
    <w:p>
      <w:pPr>
        <w:ind w:right="3819"/>
        <w:spacing w:after="0" w:line="238" w:lineRule="auto"/>
        <w:rPr>
          <w:sz w:val="20"/>
          <w:szCs w:val="20"/>
          <w:color w:val="auto"/>
        </w:rPr>
      </w:pPr>
      <w:r>
        <w:rPr>
          <w:rFonts w:ascii="Courier New" w:cs="Courier New" w:eastAsia="Courier New" w:hAnsi="Courier New"/>
          <w:sz w:val="18"/>
          <w:szCs w:val="18"/>
          <w:color w:val="auto"/>
        </w:rPr>
        <w:t>Nasdaq Staff determined that the Company no longer qualified for listing on the Exchange pursuant to Listing Rules 5101, 5110(b), and IM-5101-1.The Company was notified of the Staff determination on January 28, 2026.</w:t>
      </w:r>
    </w:p>
    <w:p>
      <w:pPr>
        <w:spacing w:after="0" w:line="1" w:lineRule="exact"/>
        <w:rPr>
          <w:sz w:val="20"/>
          <w:szCs w:val="20"/>
          <w:color w:val="auto"/>
        </w:rPr>
      </w:pPr>
    </w:p>
    <w:p>
      <w:pPr>
        <w:jc w:val="both"/>
        <w:ind w:right="3079"/>
        <w:spacing w:after="0" w:line="273" w:lineRule="auto"/>
        <w:rPr>
          <w:sz w:val="20"/>
          <w:szCs w:val="20"/>
          <w:color w:val="auto"/>
        </w:rPr>
      </w:pPr>
      <w:r>
        <w:rPr>
          <w:rFonts w:ascii="Courier New" w:cs="Courier New" w:eastAsia="Courier New" w:hAnsi="Courier New"/>
          <w:sz w:val="18"/>
          <w:szCs w:val="18"/>
          <w:color w:val="auto"/>
        </w:rPr>
        <w:t>The Company Class A Common Stock was suspended on February 4, 2026. The Staff determination to delist the Company Class A Common Stock became final on February 4, 2026.</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2395" TargetMode="External"/><Relationship Id="rId11" Type="http://schemas.openxmlformats.org/officeDocument/2006/relationships/hyperlink" Target="http://www.sec.gov/cgi-bin/browse-edgar?action=getcompany&amp;CIK=00020119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2026-06-04T08:54:07Z</dcterms:created>
  <dcterms:modified xsi:type="dcterms:W3CDTF">2026-06-04T08:54:07Z</dcterms:modified>
</cp:coreProperties>
</file>