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FAT Brands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001-38250</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82-1302696</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9720 Wilshire Blvd., Suite 500, Beverly Hills, CA</w:t>
            </w:r>
          </w:p>
        </w:tc>
        <w:tc>
          <w:tcPr>
            <w:tcW w:w="2240" w:type="dxa"/>
            <w:vAlign w:val="bottom"/>
          </w:tcPr>
          <w:p>
            <w:pPr>
              <w:spacing w:after="0"/>
              <w:rPr>
                <w:sz w:val="24"/>
                <w:szCs w:val="24"/>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90212</w:t>
            </w:r>
          </w:p>
        </w:tc>
      </w:tr>
      <w:tr>
        <w:trPr>
          <w:trHeight w:val="216"/>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 Dallas, TX</w:t>
            </w:r>
          </w:p>
        </w:tc>
        <w:tc>
          <w:tcPr>
            <w:tcW w:w="2240" w:type="dxa"/>
            <w:vAlign w:val="bottom"/>
          </w:tcPr>
          <w:p>
            <w:pPr>
              <w:spacing w:after="0"/>
              <w:rPr>
                <w:sz w:val="18"/>
                <w:szCs w:val="18"/>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8"/>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(310) 319-1850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color w:val="auto"/>
        </w:rPr>
        <w:t>As previously reported, on January 26, 2026, FAT Brands Inc. (the “</w:t>
      </w:r>
      <w:r>
        <w:rPr>
          <w:rFonts w:ascii="Times New Roman" w:cs="Times New Roman" w:eastAsia="Times New Roman" w:hAnsi="Times New Roman"/>
          <w:sz w:val="17"/>
          <w:szCs w:val="17"/>
          <w:b w:val="1"/>
          <w:bCs w:val="1"/>
          <w:color w:val="auto"/>
        </w:rPr>
        <w:t>FAT Brands</w:t>
      </w:r>
      <w:r>
        <w:rPr>
          <w:rFonts w:ascii="Times New Roman" w:cs="Times New Roman" w:eastAsia="Times New Roman" w:hAnsi="Times New Roman"/>
          <w:sz w:val="17"/>
          <w:szCs w:val="17"/>
          <w:color w:val="auto"/>
        </w:rPr>
        <w:t>”) and each of its direct and indirect subsidiaries, including Twin Hospitality Group Inc. (“</w:t>
      </w:r>
      <w:r>
        <w:rPr>
          <w:rFonts w:ascii="Times New Roman" w:cs="Times New Roman" w:eastAsia="Times New Roman" w:hAnsi="Times New Roman"/>
          <w:sz w:val="17"/>
          <w:szCs w:val="17"/>
          <w:b w:val="1"/>
          <w:bCs w:val="1"/>
          <w:color w:val="auto"/>
        </w:rPr>
        <w:t>TWNP</w:t>
      </w:r>
      <w:r>
        <w:rPr>
          <w:rFonts w:ascii="Times New Roman" w:cs="Times New Roman" w:eastAsia="Times New Roman" w:hAnsi="Times New Roman"/>
          <w:sz w:val="17"/>
          <w:szCs w:val="17"/>
          <w:color w:val="auto"/>
        </w:rPr>
        <w:t>”), commenced voluntary cases under chapter 11 of title 11 of the United States Code in the United States Bankruptcy Court for the Southern District of Texas (the “</w:t>
      </w:r>
      <w:r>
        <w:rPr>
          <w:rFonts w:ascii="Times New Roman" w:cs="Times New Roman" w:eastAsia="Times New Roman" w:hAnsi="Times New Roman"/>
          <w:sz w:val="17"/>
          <w:szCs w:val="17"/>
          <w:b w:val="1"/>
          <w:bCs w:val="1"/>
          <w:color w:val="auto"/>
        </w:rPr>
        <w:t>Bankruptcy Court</w:t>
      </w:r>
      <w:r>
        <w:rPr>
          <w:rFonts w:ascii="Times New Roman" w:cs="Times New Roman" w:eastAsia="Times New Roman" w:hAnsi="Times New Roman"/>
          <w:sz w:val="17"/>
          <w:szCs w:val="17"/>
          <w:color w:val="auto"/>
        </w:rPr>
        <w:t xml:space="preserve">”) under the jointly administered caption of </w:t>
      </w:r>
      <w:r>
        <w:rPr>
          <w:rFonts w:ascii="Times New Roman" w:cs="Times New Roman" w:eastAsia="Times New Roman" w:hAnsi="Times New Roman"/>
          <w:sz w:val="17"/>
          <w:szCs w:val="17"/>
          <w:i w:val="1"/>
          <w:iCs w:val="1"/>
          <w:color w:val="auto"/>
        </w:rPr>
        <w:t>In re Fat Brands Inc., et al.</w:t>
      </w:r>
      <w:r>
        <w:rPr>
          <w:rFonts w:ascii="Times New Roman" w:cs="Times New Roman" w:eastAsia="Times New Roman" w:hAnsi="Times New Roman"/>
          <w:sz w:val="17"/>
          <w:szCs w:val="17"/>
          <w:color w:val="auto"/>
        </w:rPr>
        <w:t>, Case Number 26-90126 (ARP) (the “</w:t>
      </w:r>
      <w:r>
        <w:rPr>
          <w:rFonts w:ascii="Times New Roman" w:cs="Times New Roman" w:eastAsia="Times New Roman" w:hAnsi="Times New Roman"/>
          <w:sz w:val="17"/>
          <w:szCs w:val="17"/>
          <w:b w:val="1"/>
          <w:bCs w:val="1"/>
          <w:color w:val="auto"/>
        </w:rPr>
        <w:t>Chapter 11 Cases</w:t>
      </w:r>
      <w:r>
        <w:rPr>
          <w:rFonts w:ascii="Times New Roman" w:cs="Times New Roman" w:eastAsia="Times New Roman" w:hAnsi="Times New Roman"/>
          <w:sz w:val="17"/>
          <w:szCs w:val="17"/>
          <w:color w:val="auto"/>
        </w:rPr>
        <w:t>”). This Current Report on Form 8-K is being filed jointly by FAT Brands and TWNP (together,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Bankruptcy Court filings and information about the Chapter 11 Cases are available online at https://omniagentsolutions.com/FATBrands-TwinHospitality, a website administered by Omni Agent Solutions, Inc., a third-party bankruptcy claims and noticing agent (“</w:t>
      </w:r>
      <w:r>
        <w:rPr>
          <w:rFonts w:ascii="Times New Roman" w:cs="Times New Roman" w:eastAsia="Times New Roman" w:hAnsi="Times New Roman"/>
          <w:sz w:val="18"/>
          <w:szCs w:val="18"/>
          <w:b w:val="1"/>
          <w:bCs w:val="1"/>
          <w:color w:val="auto"/>
        </w:rPr>
        <w:t>Omni</w:t>
      </w:r>
      <w:r>
        <w:rPr>
          <w:rFonts w:ascii="Times New Roman" w:cs="Times New Roman" w:eastAsia="Times New Roman" w:hAnsi="Times New Roman"/>
          <w:sz w:val="18"/>
          <w:szCs w:val="18"/>
          <w:color w:val="auto"/>
        </w:rPr>
        <w:t>”), or by contacting Omni at FATBrands-TwinHospitalityInquiries@OmniAgnt.com or by calling toll-free at (888) 202-5659 or +1 (747) 288-6379 for calls originating outside of the U.S. The documents and other information available via website or elsewhere are not part of this Current Report and shall not be deemed incorporated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28, 2026, upon the request of the Corporation and the ad hoc group (the “</w:t>
      </w:r>
      <w:r>
        <w:rPr>
          <w:rFonts w:ascii="Times New Roman" w:cs="Times New Roman" w:eastAsia="Times New Roman" w:hAnsi="Times New Roman"/>
          <w:sz w:val="18"/>
          <w:szCs w:val="18"/>
          <w:b w:val="1"/>
          <w:bCs w:val="1"/>
          <w:color w:val="auto"/>
        </w:rPr>
        <w:t>WBS Ad Hoc Group</w:t>
      </w:r>
      <w:r>
        <w:rPr>
          <w:rFonts w:ascii="Times New Roman" w:cs="Times New Roman" w:eastAsia="Times New Roman" w:hAnsi="Times New Roman"/>
          <w:sz w:val="18"/>
          <w:szCs w:val="18"/>
          <w:color w:val="auto"/>
        </w:rPr>
        <w:t xml:space="preserve">”) of certain holders of notes issued by the special purpose, whole business securitization financing subsidiaries of the Corporation, the Bankruptcy Court entered the </w:t>
      </w:r>
      <w:r>
        <w:rPr>
          <w:rFonts w:ascii="Times New Roman" w:cs="Times New Roman" w:eastAsia="Times New Roman" w:hAnsi="Times New Roman"/>
          <w:sz w:val="18"/>
          <w:szCs w:val="18"/>
          <w:i w:val="1"/>
          <w:iCs w:val="1"/>
          <w:color w:val="auto"/>
        </w:rPr>
        <w:t>Stipulated Mediation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Appointing Judge Marvin Isgur as Mediator </w:t>
      </w:r>
      <w:r>
        <w:rPr>
          <w:rFonts w:ascii="Times New Roman" w:cs="Times New Roman" w:eastAsia="Times New Roman" w:hAnsi="Times New Roman"/>
          <w:sz w:val="18"/>
          <w:szCs w:val="18"/>
          <w:color w:val="auto"/>
        </w:rPr>
        <w:t>[Docket No. 105] (as amended, supplemented or modified from time to time, the “</w:t>
      </w:r>
      <w:r>
        <w:rPr>
          <w:rFonts w:ascii="Times New Roman" w:cs="Times New Roman" w:eastAsia="Times New Roman" w:hAnsi="Times New Roman"/>
          <w:sz w:val="18"/>
          <w:szCs w:val="18"/>
          <w:b w:val="1"/>
          <w:bCs w:val="1"/>
          <w:color w:val="auto"/>
        </w:rPr>
        <w:t>Mediation Order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Mediation Order facilitated the Corporation’s ability to engage in discussions with the WBS Ad Hoc Group and the official committee of unsecured creditors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and, together with the WBS Ad Hoc Group and the Corporation, the “</w:t>
      </w:r>
      <w:r>
        <w:rPr>
          <w:rFonts w:ascii="Times New Roman" w:cs="Times New Roman" w:eastAsia="Times New Roman" w:hAnsi="Times New Roman"/>
          <w:sz w:val="18"/>
          <w:szCs w:val="18"/>
          <w:b w:val="1"/>
          <w:bCs w:val="1"/>
          <w:color w:val="auto"/>
        </w:rPr>
        <w:t>Mediation Parties</w:t>
      </w:r>
      <w:r>
        <w:rPr>
          <w:rFonts w:ascii="Times New Roman" w:cs="Times New Roman" w:eastAsia="Times New Roman" w:hAnsi="Times New Roman"/>
          <w:sz w:val="18"/>
          <w:szCs w:val="18"/>
          <w:color w:val="auto"/>
        </w:rPr>
        <w:t>”) regarding a value-maximizing resolution of the Chapter 11 Cases. As of June 1, 2026, the mediation has concluded. Pursuant to paragraph 14 of the Mediation Order, the Corporation agreed to publicly disclose certain information set forth herein upon the termination of the mediation. This disclosure satisfies the Corporation’s obligations under the Mediation Order.</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mediation process resulted in a global settlement (the “</w:t>
      </w:r>
      <w:r>
        <w:rPr>
          <w:rFonts w:ascii="Times New Roman" w:cs="Times New Roman" w:eastAsia="Times New Roman" w:hAnsi="Times New Roman"/>
          <w:sz w:val="18"/>
          <w:szCs w:val="18"/>
          <w:b w:val="1"/>
          <w:bCs w:val="1"/>
          <w:color w:val="auto"/>
        </w:rPr>
        <w:t>Global Settlement</w:t>
      </w:r>
      <w:r>
        <w:rPr>
          <w:rFonts w:ascii="Times New Roman" w:cs="Times New Roman" w:eastAsia="Times New Roman" w:hAnsi="Times New Roman"/>
          <w:sz w:val="18"/>
          <w:szCs w:val="18"/>
          <w:color w:val="auto"/>
        </w:rPr>
        <w:t>”) among the Corporation and certain of its subsidiaries (collectively,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the WBS Ad Hoc Group, 3|5|2 Capital GP LLC, on behalf of 3|5|2 Capital ABS Master Fund LP (the “</w:t>
      </w:r>
      <w:r>
        <w:rPr>
          <w:rFonts w:ascii="Times New Roman" w:cs="Times New Roman" w:eastAsia="Times New Roman" w:hAnsi="Times New Roman"/>
          <w:sz w:val="18"/>
          <w:szCs w:val="18"/>
          <w:b w:val="1"/>
          <w:bCs w:val="1"/>
          <w:color w:val="auto"/>
        </w:rPr>
        <w:t>Resid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and the Committee. On May 19, 2026, the Bankruptcy Court entered an order approving the Global Settlement [Docket No. 1365]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Order</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Final Order (I) Authorizing the Debtors to Use Cash Collateral and Obtain Secured Postpetition Financing; (II) Granting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Liens and Superpriority Administrative Claims; (III) Providing Adequate Protection; and (IV) Granting Related Relief </w:t>
      </w:r>
      <w:r>
        <w:rPr>
          <w:rFonts w:ascii="Times New Roman" w:cs="Times New Roman" w:eastAsia="Times New Roman" w:hAnsi="Times New Roman"/>
          <w:sz w:val="18"/>
          <w:szCs w:val="18"/>
          <w:color w:val="auto"/>
        </w:rPr>
        <w:t>[Docket No. 1366] (the “</w:t>
      </w:r>
      <w:r>
        <w:rPr>
          <w:rFonts w:ascii="Times New Roman" w:cs="Times New Roman" w:eastAsia="Times New Roman" w:hAnsi="Times New Roman"/>
          <w:sz w:val="18"/>
          <w:szCs w:val="18"/>
          <w:b w:val="1"/>
          <w:bCs w:val="1"/>
          <w:color w:val="auto"/>
        </w:rPr>
        <w:t>Final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Global Settlement, among other things: (i) resolves the objections filed by the Committee and the Resid Noteholders to the sale of substantially all of the assets of the Companies and to entry of the Final DIP Order, allowing the Companies to consummate four separate sale transactions;</w:t>
      </w:r>
    </w:p>
    <w:p>
      <w:pPr>
        <w:jc w:val="both"/>
        <w:ind w:firstLine="8"/>
        <w:spacing w:after="0" w:line="252" w:lineRule="auto"/>
        <w:tabs>
          <w:tab w:leader="none" w:pos="2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WBS Ad Hoc Group to acquire substantially all of the assets of the Companies through credit bid transactions, along with certain alternative sale transactions for specified assets to be sold to other third-party buyers, including Hot Dog on a Stick and Elevation Burger; (iii) establishes a binding milestone timeline requiring the Companies to file and seek confirmation of a Chapter 11 plan that will effectuate the wind-down of the remaining estates of the Companies and distribute interests in a liquidation trust to certain creditors on account of their claims against the Corporation; (iv) provides for certain funding to be contributed by the Ad Hoc Group in connection with the chapter 11 plan confirmation process; and (v) requires the dismissal of certain pending litigation, including the adversary proceeding commenced by the Resid Noteholders and the Committee’s standing motion and manager advance complaint, following the closing of the credit bid transactions.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22, 2026, the Companies filed a plan of liquidation [Docket No. 1404] and a disclosure statement [Docket No. 1406], each as may be amended or supplemented from time to time, incorporating the terms of the Global Settlement.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under Item 7.01 and Exhibit 99.1 and 99.2 attached hereto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liabilities of that Section, nor shall it be deemed incorporated by reference into any filing under the Exchange Act or the Securities Act of 1933, as amended, regardless of any general incorporation language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the Private Securities Litigation Reform Act of 1995, including statements relating to the Global Settlement, the proposed sale transactions, the filing and confirmation of a Chapter 11 plan, the wind-down of the Corporation’s remaining estates, and anticipated distributions to creditors. Forward-looking statements are subject to significant business, economic and competitive risks, uncertainties and contingencies, many of which are difficult to predict and beyond our control, which could cause our actual results to differ materially from the results expressed or implied in such forward-looking statements. We refer you to the documents that we file from time to time with the Securities and Exchange Commission, such as our reports on Form 10-K, Form 10-Q and Form 8-K, for a discussion of these and other risks and uncertainties that could cause our actual results to differ materially from our current expectations and from the forward-looking statements contained in this Current Report. Except as required under the United States federal securities laws and the rules and regulations of the SEC, the Corporation disclaims any intent or obligation to update any forward-looking statements after the date of this Current Report, whether as a result of new information, future events, developments, changes in assumptions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76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Settlement Order, dated May 19, 2026</w:t>
            </w:r>
          </w:p>
        </w:tc>
        <w:tc>
          <w:tcPr>
            <w:tcW w:w="7380" w:type="dxa"/>
            <w:vAlign w:val="bottom"/>
            <w:tcBorders>
              <w:top w:val="single" w:sz="8" w:color="auto"/>
            </w:tcBorders>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2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Final DIP Order, dated May 19, 2026</w:t>
            </w:r>
          </w:p>
        </w:tc>
        <w:tc>
          <w:tcPr>
            <w:tcW w:w="7440" w:type="dxa"/>
            <w:vAlign w:val="bottom"/>
            <w:gridSpan w:val="2"/>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United States Bankruptcy Court</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Southern District of Texas</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ENTERED</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May 19, 2026</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Nathan Ochsner, Clerk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UNITED STATES BANKRUPTCY COURT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45440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X</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FAT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Case No. 26-90126 (ARP)</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900"/>
              <w:spacing w:after="0" w:line="256" w:lineRule="exact"/>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0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X</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345440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8"/>
          <w:szCs w:val="18"/>
          <w:b w:val="1"/>
          <w:bCs w:val="1"/>
          <w:color w:val="auto"/>
        </w:rPr>
        <w:t>ORDER (I) AUTHORIZING ENTRY INTO AND PERFORMANCE UNDER THE SETTLEMENT TERM SHEET; (II) APPROVING, PURSUANT TO BANKRUPTCY RULE 9019, THE TERMS OF THE GLOBAL SETTLEMENT CONTAINED THEREIN; AND (III) GRANTING RELATED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[Relates to Docket No. 1333]</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Upon the motion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above-captioned debtors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for entry of an order (this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approving the global settlement terms (the “</w:t>
      </w:r>
      <w:r>
        <w:rPr>
          <w:rFonts w:ascii="Times New Roman" w:cs="Times New Roman" w:eastAsia="Times New Roman" w:hAnsi="Times New Roman"/>
          <w:sz w:val="18"/>
          <w:szCs w:val="18"/>
          <w:b w:val="1"/>
          <w:bCs w:val="1"/>
          <w:i w:val="1"/>
          <w:iCs w:val="1"/>
          <w:color w:val="auto"/>
        </w:rPr>
        <w:t>Global Settlement</w:t>
      </w:r>
      <w:r>
        <w:rPr>
          <w:rFonts w:ascii="Times New Roman" w:cs="Times New Roman" w:eastAsia="Times New Roman" w:hAnsi="Times New Roman"/>
          <w:sz w:val="18"/>
          <w:szCs w:val="18"/>
          <w:color w:val="auto"/>
        </w:rPr>
        <w:t xml:space="preserve">”) embodied in the settlement term sheet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Settlement Term Sheet</w:t>
      </w:r>
      <w:r>
        <w:rPr>
          <w:rFonts w:ascii="Times New Roman" w:cs="Times New Roman" w:eastAsia="Times New Roman" w:hAnsi="Times New Roman"/>
          <w:sz w:val="18"/>
          <w:szCs w:val="18"/>
          <w:color w:val="auto"/>
        </w:rPr>
        <w:t>”); and this Court having jurisdiction to consider the Motion and the relief requested therein pursuant to 28 U.S.C. § 1334; and consideration of the Motion and the requested relief being a core proceeding pursuant to 28 U.S.C. § 157(b); and it appearing that venue is proper before this Court pursuant to 28 U.S.C. §§ 1408 and 1409; and due and proper notice of the Motion having been provided; and such notice having been adequate and appropriate under the circumstances, and it appearing that no other or further notice need be provided; and this Court having reviewed the Motion; and upon any hearing held on the Motion; and all objections, if any, to the relief requested in the Motion having been withdrawn, resolved, or overruled; and the Court having determined that the legal and factual bases set forth in the Motion establish just cause for the relief granted herein; and it appearing that the relief requested in the Motion is in the best interests of the Debtors, their respective estates, creditors, and all parties in interest; and upon all of the proceedings had before this Court; and after due deliberation and sufficient cause appearing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jc w:val="both"/>
        <w:ind w:left="340" w:hanging="332"/>
        <w:spacing w:after="0" w:line="210"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8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defined herein have the meanings given to them in the Motion or the Settlement Term Sheet,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b w:val="1"/>
          <w:bCs w:val="1"/>
          <w:color w:val="auto"/>
        </w:rPr>
        <w:t>IT IS HEREBY ORDERED THAT</w:t>
      </w:r>
    </w:p>
    <w:p>
      <w:pPr>
        <w:spacing w:after="0" w:line="229" w:lineRule="exact"/>
        <w:rPr>
          <w:sz w:val="20"/>
          <w:szCs w:val="20"/>
          <w:color w:val="auto"/>
        </w:rPr>
      </w:pPr>
    </w:p>
    <w:p>
      <w:pPr>
        <w:ind w:left="820" w:hanging="18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 is GRANTED and APPROVED as provided herein.</w:t>
      </w:r>
    </w:p>
    <w:p>
      <w:pPr>
        <w:spacing w:after="0" w:line="225" w:lineRule="exact"/>
        <w:rPr>
          <w:rFonts w:ascii="Times New Roman" w:cs="Times New Roman" w:eastAsia="Times New Roman" w:hAnsi="Times New Roman"/>
          <w:sz w:val="18"/>
          <w:szCs w:val="18"/>
          <w:color w:val="auto"/>
        </w:rPr>
      </w:pPr>
    </w:p>
    <w:p>
      <w:pPr>
        <w:ind w:left="800" w:hanging="16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objections to the Motion that have not been withdrawn, waived, or settled are hereby overruled.</w:t>
      </w:r>
    </w:p>
    <w:p>
      <w:pPr>
        <w:spacing w:after="0" w:line="225"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to enter into and perform under the Settlement Term Sheet.</w:t>
      </w:r>
    </w:p>
    <w:p>
      <w:pPr>
        <w:spacing w:after="0" w:line="223"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Settlement is approved in all respects as being in the best interest of the Debtors’ estates and their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the terms of the Global Settlement relating to the Chapter 11 Plan are subject to sections 1123, 1125, 1126, 1128, and 1129 of the Bankruptcy Code and confirmation of the Chapter 11 Plan by the Bankruptcy Court. To the extent of a conflict between this Order and the Global Settlement, this Order shall control.</w:t>
      </w:r>
    </w:p>
    <w:p>
      <w:pPr>
        <w:spacing w:after="0" w:line="181"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Debtors shall file a Chapter 11 Plan that reflects the terms of the Settlement and is otherwise reasonably acceptable to the Debtors, the Committee, the Resid Noteholders and the WBS Ad Hoc Group no later than May 22, 2026, unless otherwise agreed by the Committee, the Resid Noteholders and WBS Ad Hoc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Resid Noteholders’ consent rights shall be limited to terms in the Chapter 11 Plan and Confirmation Order that affect the Global Settlement or the Resid Noteholders.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4" w:right="339" w:bottom="1440" w:gutter="0" w:footer="0" w:header="0"/>
        </w:sectPr>
      </w:pPr>
    </w:p>
    <w:bookmarkStart w:id="6" w:name="page7"/>
    <w:bookmarkEnd w:id="6"/>
    <w:p>
      <w:pPr>
        <w:ind w:left="-20" w:firstLine="656"/>
        <w:spacing w:after="0" w:line="282" w:lineRule="auto"/>
        <w:tabs>
          <w:tab w:leader="none" w:pos="8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Objections and the Resid Noteholders’ Objections to the relief sought at the Final DIP and Sale Hearing (i) are deemed withdrawn without prejudice upon entry of this Order and (ii) shall be deemed withdrawn with prejudice upon the closing of the Credit Bid Transactions.</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following the closing of the Credit Bid Transactions, the Committee Standing Motion and the Manager Advance Complaint shall be dismissed with prejudice, and, during the interim period between entry of this Order and consummation of the Credit Bid Transactions, all litigation therein shall be suspended until such dismissal or termination of the Settlement Term Sheet.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 Noteholders and the Debtors shall file a notice of dismissal with prejudice of the Resid Adversary Proceeding and the Resid State Court Action within two (2) business days following the closing of the Credit Bid Transactions, or as soon as practicable thereafter, and, during the interim period between entry of this Order and consummation of the Credit Bid Transactions, all litigation therein shall be suspended until such dismissal or termination of the Settlement Term Sheet.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WBS Ad Hoc Group (or the NewCos, as applicable) shall fund the Funding Amount as a condition precedent to the closing of the Credit Bids, on the terms and conditions set forth in the Global Settlement. The NewCos shall place their allocable share of the Funding Amount into a segregated account (the “</w:t>
      </w:r>
      <w:r>
        <w:rPr>
          <w:rFonts w:ascii="Times New Roman" w:cs="Times New Roman" w:eastAsia="Times New Roman" w:hAnsi="Times New Roman"/>
          <w:sz w:val="18"/>
          <w:szCs w:val="18"/>
          <w:b w:val="1"/>
          <w:bCs w:val="1"/>
          <w:i w:val="1"/>
          <w:iCs w:val="1"/>
          <w:color w:val="auto"/>
        </w:rPr>
        <w:t>Plan Funding Account</w:t>
      </w:r>
      <w:r>
        <w:rPr>
          <w:rFonts w:ascii="Times New Roman" w:cs="Times New Roman" w:eastAsia="Times New Roman" w:hAnsi="Times New Roman"/>
          <w:sz w:val="18"/>
          <w:szCs w:val="18"/>
          <w:color w:val="auto"/>
        </w:rPr>
        <w:t xml:space="preserve">”) prior to the closing of the Credit Bid Transactions to be used in accordance with the Wind-Down Budget, which is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to use the funds in the Plan Funding Account solely in accordance with the Wind-Down Budget. The Plan Funding Account shall not be subject to the control, liens, security interests, or claims of any secured party, including the DIP Liens, the FBG DIP Superpriority Claims, the Twin DIP Superpriority Claims, the Adequate Protection Liens, and the Adequate Protection Claims (as those terms are defined in the proposed Final DIP Order) and any liens or claims of any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7" w:name="page8"/>
    <w:bookmarkEnd w:id="7"/>
    <w:p>
      <w:pPr>
        <w:jc w:val="both"/>
        <w:ind w:firstLine="656"/>
        <w:spacing w:after="0" w:line="266" w:lineRule="auto"/>
        <w:tabs>
          <w:tab w:leader="none" w:pos="9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of any or all of the Chapter 11 Cases to cases under chapter 7 of the Bankruptcy Code or a termination of the Global Settlement following the closing of the Credit Bid Transactions, the Allocation and Recovery Waterfall shall govern the distribution of proceeds obtained by such chapter 7 trustee through the monetization of the Debtors’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entry, the terms of this Order shall be binding on the Parties and their respective successors and assigns, including any chapter 7 trustee appointed in the Chapter 11 Cases.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actions reasonably necessary to effectuate the Global Settlement in a manner consistent with the terms set forth in the Global Settlement and this Order.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Order approving a Credit Bid Transaction shall provide that (a) it is a condition precedent to the closing of each Credit Bid Sale that this Settlement remains effective and that the Funding Amounts have been paid (the “</w:t>
      </w:r>
      <w:r>
        <w:rPr>
          <w:rFonts w:ascii="Times New Roman" w:cs="Times New Roman" w:eastAsia="Times New Roman" w:hAnsi="Times New Roman"/>
          <w:sz w:val="18"/>
          <w:szCs w:val="18"/>
          <w:b w:val="1"/>
          <w:bCs w:val="1"/>
          <w:i w:val="1"/>
          <w:iCs w:val="1"/>
          <w:color w:val="auto"/>
        </w:rPr>
        <w:t>Settlement Closing Condition</w:t>
      </w:r>
      <w:r>
        <w:rPr>
          <w:rFonts w:ascii="Times New Roman" w:cs="Times New Roman" w:eastAsia="Times New Roman" w:hAnsi="Times New Roman"/>
          <w:sz w:val="18"/>
          <w:szCs w:val="18"/>
          <w:color w:val="auto"/>
        </w:rPr>
        <w:t>”) and (b) any waiver of the Settlement Closing Condition shall require the consent of each of the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without further order or authorization from the Court, shall have the authority to enter into and execute any and all documentation necessary to carry out the relief granted in this Order and are authorized to take any necessary or appropriate steps to effectuate the terms of the Global Settlement.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retains exclusive jurisdiction to hear and determine all matters arising from or related to this Order, including, for the avoidance of doubt, the terms of the Global Settlement and the obligations set forth in the Settlement Term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(Settlement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FAT BRANDS INC, ET AL</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TERM SHEET</w:t>
      </w:r>
      <w:r>
        <w:rPr>
          <w:rFonts w:ascii="Times New Roman" w:cs="Times New Roman" w:eastAsia="Times New Roman" w:hAnsi="Times New Roman"/>
          <w:sz w:val="29"/>
          <w:szCs w:val="29"/>
          <w:color w:val="auto"/>
          <w:vertAlign w:val="superscript"/>
        </w:rPr>
        <w:t>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TERM SHEET (“</w:t>
      </w:r>
      <w:r>
        <w:rPr>
          <w:rFonts w:ascii="Times New Roman" w:cs="Times New Roman" w:eastAsia="Times New Roman" w:hAnsi="Times New Roman"/>
          <w:sz w:val="18"/>
          <w:szCs w:val="18"/>
          <w:b w:val="1"/>
          <w:bCs w:val="1"/>
          <w:u w:val="single" w:color="auto"/>
          <w:color w:val="auto"/>
        </w:rPr>
        <w:t>TERM SHEET</w:t>
      </w:r>
      <w:r>
        <w:rPr>
          <w:rFonts w:ascii="Times New Roman" w:cs="Times New Roman" w:eastAsia="Times New Roman" w:hAnsi="Times New Roman"/>
          <w:sz w:val="18"/>
          <w:szCs w:val="18"/>
          <w:b w:val="1"/>
          <w:bCs w:val="1"/>
          <w:color w:val="auto"/>
        </w:rPr>
        <w:t>”) SUMMARIZES THE MATERIAL TERMS AND CONDITIONS OF A PROPOSED SETTLEMENT (“</w:t>
      </w:r>
      <w:r>
        <w:rPr>
          <w:rFonts w:ascii="Times New Roman" w:cs="Times New Roman" w:eastAsia="Times New Roman" w:hAnsi="Times New Roman"/>
          <w:sz w:val="18"/>
          <w:szCs w:val="18"/>
          <w:b w:val="1"/>
          <w:bCs w:val="1"/>
          <w:u w:val="single" w:color="auto"/>
          <w:color w:val="auto"/>
        </w:rPr>
        <w:t>SETTLEMENT</w:t>
      </w:r>
      <w:r>
        <w:rPr>
          <w:rFonts w:ascii="Times New Roman" w:cs="Times New Roman" w:eastAsia="Times New Roman" w:hAnsi="Times New Roman"/>
          <w:sz w:val="18"/>
          <w:szCs w:val="18"/>
          <w:b w:val="1"/>
          <w:bCs w:val="1"/>
          <w:color w:val="auto"/>
        </w:rPr>
        <w:t>”) BY AND AMONG THE DEBTORS, THE WBS AD HOC GROUP, THE RESID NOTEHOLDERS AND THE COMMITTEE (COLLECTIVELY,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b w:val="1"/>
          <w:bCs w:val="1"/>
          <w:color w:val="auto"/>
        </w:rPr>
        <w:t>”). THE SETTLEMENT IS SUBJECT TO DEFINITIVE DOCUMENTATION REASONABLY ACCEPTABLE TO THE COMMITTEE, THE RESID NOTEHOLDERS, THE DEBTORS AND THE WBS AD HOC GROUP, AND BANKRUPTCY COURT APPROVAL.</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TERM SHEET DOES NOT CONSTITUTE (NOR WILL IT BE CONSTRUED AS) AN OFFER WITH RESPECT TO ANY SECURITIES OR A SOLICITATION OF ACCEPTANCES OR REJECTIONS AS TO ANY CHAPTER 11 PLAN, IT BEING UNDERSTOOD THAT SUCH A SOLICITATION, IF ANY, WILL ONLY BE MADE IN COMPLIANCE WITH APPLICABLE PROVISIONS OF SECURITIES, BANKRUPTCY, INSOLVENCY, AND/OR OTHER APPLICABLE LAWS.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420" w:type="dxa"/>
            <w:vAlign w:val="bottom"/>
          </w:tcPr>
          <w:p>
            <w:pPr>
              <w:jc w:val="right"/>
              <w:ind w:right="3850"/>
              <w:spacing w:after="0"/>
              <w:rPr>
                <w:sz w:val="20"/>
                <w:szCs w:val="20"/>
                <w:color w:val="auto"/>
              </w:rPr>
            </w:pPr>
            <w:r>
              <w:rPr>
                <w:rFonts w:ascii="Times New Roman" w:cs="Times New Roman" w:eastAsia="Times New Roman" w:hAnsi="Times New Roman"/>
                <w:sz w:val="18"/>
                <w:szCs w:val="18"/>
                <w:b w:val="1"/>
                <w:bCs w:val="1"/>
                <w:color w:val="auto"/>
              </w:rPr>
              <w:t>General Description</w:t>
            </w:r>
          </w:p>
        </w:tc>
      </w:tr>
      <w:tr>
        <w:trPr>
          <w:trHeight w:val="198"/>
        </w:trPr>
        <w:tc>
          <w:tcPr>
            <w:tcW w:w="1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20" w:type="dxa"/>
            <w:vAlign w:val="bottom"/>
          </w:tcPr>
          <w:p>
            <w:pPr>
              <w:spacing w:after="0"/>
              <w:rPr>
                <w:sz w:val="17"/>
                <w:szCs w:val="17"/>
                <w:color w:val="auto"/>
              </w:rPr>
            </w:pPr>
          </w:p>
        </w:tc>
        <w:tc>
          <w:tcPr>
            <w:tcW w:w="94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The Parties agree to the terms of the Settlement set forth herein, which shall be (a) memorialized in the Debtors’ Chapter 11</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Plan and other definitive documentation reasonably acceptable to the Committee, the Debtors, the Resid Noteholders and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WBS Ad Hoc Group and (b) subject to approval by the Court of the 9019 Order (as defined below) and confirmation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Debtors’ Chapter 11 Plan; provided that the Committee shall not object to any relief sought at the hearing in respect of the sale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substantially all of the Debtors’ assets (the “Sale Hearing”) and final approval of the DIP Facility (the “Final DIP Hearing”).</w:t>
            </w:r>
          </w:p>
        </w:tc>
      </w:tr>
    </w:tbl>
    <w:p>
      <w:pPr>
        <w:spacing w:after="0" w:line="198" w:lineRule="exact"/>
        <w:rPr>
          <w:sz w:val="20"/>
          <w:szCs w:val="20"/>
          <w:color w:val="auto"/>
        </w:rPr>
      </w:pPr>
    </w:p>
    <w:p>
      <w:pPr>
        <w:jc w:val="both"/>
        <w:ind w:left="2040" w:hanging="223"/>
        <w:spacing w:after="0" w:line="266" w:lineRule="auto"/>
        <w:tabs>
          <w:tab w:leader="none" w:pos="2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orders approving the Sales (the “</w:t>
      </w:r>
      <w:r>
        <w:rPr>
          <w:rFonts w:ascii="Times New Roman" w:cs="Times New Roman" w:eastAsia="Times New Roman" w:hAnsi="Times New Roman"/>
          <w:sz w:val="18"/>
          <w:szCs w:val="18"/>
          <w:u w:val="single" w:color="auto"/>
          <w:color w:val="auto"/>
        </w:rPr>
        <w:t>Sale Orders</w:t>
      </w:r>
      <w:r>
        <w:rPr>
          <w:rFonts w:ascii="Times New Roman" w:cs="Times New Roman" w:eastAsia="Times New Roman" w:hAnsi="Times New Roman"/>
          <w:sz w:val="18"/>
          <w:szCs w:val="18"/>
          <w:color w:val="auto"/>
        </w:rPr>
        <w:t>”) and the DIP Facility (the “</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shall make express reference to the terms of this Settlement and commit the WBS Ad Hoc Group (or NewCos (as defined below)) to fund the Funding Amount (as defined below), as set forth herein.</w:t>
      </w:r>
    </w:p>
    <w:p>
      <w:pPr>
        <w:spacing w:after="0" w:line="175" w:lineRule="exact"/>
        <w:rPr>
          <w:rFonts w:ascii="Times New Roman" w:cs="Times New Roman" w:eastAsia="Times New Roman" w:hAnsi="Times New Roman"/>
          <w:sz w:val="18"/>
          <w:szCs w:val="18"/>
          <w:color w:val="auto"/>
        </w:rPr>
      </w:pPr>
    </w:p>
    <w:p>
      <w:pPr>
        <w:jc w:val="both"/>
        <w:ind w:left="2040" w:hanging="223"/>
        <w:spacing w:after="0" w:line="258" w:lineRule="auto"/>
        <w:tabs>
          <w:tab w:leader="none" w:pos="2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conditions precedent to consummation of the Credit Bids (a) the Bankruptcy Court shall have entered the 9019 Order (as defined below); (b) the WBS Ad Hoc Group shall cause the NewCos to fund the Funding Amount (each as defined below) into a segregated account to be used in accordance with the Wind-Down Budget; and (c) all amounts that have been invoiced by the Prepetition Trustees and DIP Agent (including their respective counsel) as of the date hereof in the amount set forth in the Wind-Down Budget shall have been paid in full by the Debtors.</w:t>
      </w:r>
    </w:p>
    <w:p>
      <w:pPr>
        <w:spacing w:after="0" w:line="208" w:lineRule="exact"/>
        <w:rPr>
          <w:rFonts w:ascii="Times New Roman" w:cs="Times New Roman" w:eastAsia="Times New Roman" w:hAnsi="Times New Roman"/>
          <w:sz w:val="18"/>
          <w:szCs w:val="18"/>
          <w:color w:val="auto"/>
        </w:rPr>
      </w:pPr>
    </w:p>
    <w:p>
      <w:pPr>
        <w:ind w:left="340" w:hanging="324"/>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Each capitalized term that is not defined herein shall have the meaning ascribed to such term in the </w:t>
      </w:r>
      <w:r>
        <w:rPr>
          <w:rFonts w:ascii="Times New Roman" w:cs="Times New Roman" w:eastAsia="Times New Roman" w:hAnsi="Times New Roman"/>
          <w:sz w:val="18"/>
          <w:szCs w:val="18"/>
          <w:i w:val="1"/>
          <w:iCs w:val="1"/>
          <w:color w:val="auto"/>
        </w:rPr>
        <w:t>Second Interim Order (I) authorizing the Debtors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Use Cash Collateral and Obtain Secured Postpetition Financing; (II) Granting Liens and Superpriority Administrative Claims; (III) Providing Adequate Protections; (IV) Scheduling a Final Hearing; and (V) Granting Related Relief </w:t>
      </w:r>
      <w:r>
        <w:rPr>
          <w:rFonts w:ascii="Times New Roman" w:cs="Times New Roman" w:eastAsia="Times New Roman" w:hAnsi="Times New Roman"/>
          <w:sz w:val="18"/>
          <w:szCs w:val="18"/>
          <w:color w:val="auto"/>
        </w:rPr>
        <w:t>[Docket No. 564] (the “</w:t>
      </w:r>
      <w:r>
        <w:rPr>
          <w:rFonts w:ascii="Times New Roman" w:cs="Times New Roman" w:eastAsia="Times New Roman" w:hAnsi="Times New Roman"/>
          <w:sz w:val="18"/>
          <w:szCs w:val="18"/>
          <w:u w:val="single" w:color="auto"/>
          <w:color w:val="auto"/>
        </w:rPr>
        <w:t>Second Interim DIP Order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80" w:type="dxa"/>
            <w:vAlign w:val="bottom"/>
          </w:tcPr>
          <w:p>
            <w:pPr>
              <w:spacing w:after="0"/>
              <w:rPr>
                <w:sz w:val="21"/>
                <w:szCs w:val="21"/>
                <w:color w:val="auto"/>
              </w:rPr>
            </w:pPr>
          </w:p>
        </w:tc>
        <w:tc>
          <w:tcPr>
            <w:tcW w:w="9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General Description</w:t>
            </w:r>
          </w:p>
        </w:tc>
      </w:tr>
      <w:tr>
        <w:trPr>
          <w:trHeight w:val="198"/>
        </w:trPr>
        <w:tc>
          <w:tcPr>
            <w:tcW w:w="1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9019 Motion</w:t>
            </w:r>
          </w:p>
        </w:tc>
        <w:tc>
          <w:tcPr>
            <w:tcW w:w="120" w:type="dxa"/>
            <w:vAlign w:val="bottom"/>
          </w:tcPr>
          <w:p>
            <w:pPr>
              <w:spacing w:after="0"/>
              <w:rPr>
                <w:sz w:val="17"/>
                <w:szCs w:val="17"/>
                <w:color w:val="auto"/>
              </w:rPr>
            </w:pPr>
          </w:p>
        </w:tc>
        <w:tc>
          <w:tcPr>
            <w:tcW w:w="942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  Prior to the Sale Hearing and the Final DIP Hearing, the Debtors shall file an emergency motion pursuant to Federal Rule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Bankruptcy Procedure 9019 seeking entry of an order approving this Settlement (the “9019 Order”) by no later than May 19,</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2026; provided that the Debtors, the Committee and the WBS Ad Hoc Group shall use commercially reasonable efforts to file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motion seeking the 9019 Order as soon as reasonably practicable.</w:t>
            </w:r>
          </w:p>
        </w:tc>
      </w:tr>
      <w:tr>
        <w:trPr>
          <w:trHeight w:val="43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9019 Order shall provide:</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Debtors shall file a Chapter 11 Plan that reflects the terms of this Settlement and otherwise be reasonably acceptable 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Debtors, the Committee, the Resid Noteholders and the WBS Ad Hoc Group; provided that approval of the terms of this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relating to the Chapter 11 Plan are subject to section 1123, 1125, 1126, 1128, and 1129 of the Bankruptcy Code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confirmation of the Chapter 11 Plan by the Bankruptcy Court;</w:t>
            </w:r>
          </w:p>
        </w:tc>
      </w:tr>
      <w:tr>
        <w:trPr>
          <w:trHeight w:val="45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Committee Objections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Resid Noteholders’ Objections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to the relief sought at the Sale Hearing and Final DIP</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Hearing shall be deemed withdrawn with prejudice;</w:t>
            </w:r>
          </w:p>
        </w:tc>
      </w:tr>
      <w:tr>
        <w:trPr>
          <w:trHeight w:val="45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Committee Standing Motion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Manager Advance Complaint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shall be dismissed with prejudice within two (2) days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following the closing of the Credit Bids and, upon entry of the 9019 Order, all litigation therein shall be suspended until</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dismissal or termination of this Term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11"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Committee Objections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Objection of the Official Committee of Unsecured Creditors to Approval of the Debtors’ Sale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Section 363 </w:t>
      </w:r>
      <w:r>
        <w:rPr>
          <w:rFonts w:ascii="Times New Roman" w:cs="Times New Roman" w:eastAsia="Times New Roman" w:hAnsi="Times New Roman"/>
          <w:sz w:val="18"/>
          <w:szCs w:val="18"/>
          <w:color w:val="auto"/>
        </w:rPr>
        <w:t>[Docket No. 1175] and the</w:t>
      </w:r>
      <w:r>
        <w:rPr>
          <w:rFonts w:ascii="Times New Roman" w:cs="Times New Roman" w:eastAsia="Times New Roman" w:hAnsi="Times New Roman"/>
          <w:sz w:val="18"/>
          <w:szCs w:val="18"/>
          <w:i w:val="1"/>
          <w:iCs w:val="1"/>
          <w:color w:val="auto"/>
        </w:rPr>
        <w:t xml:space="preserve"> Objection of the Official Committee of Unsecured Creditors to Final Approval of Debtors’ DIP Motion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1174].</w:t>
      </w:r>
    </w:p>
    <w:p>
      <w:pPr>
        <w:spacing w:after="0" w:line="197" w:lineRule="exact"/>
        <w:rPr>
          <w:sz w:val="20"/>
          <w:szCs w:val="20"/>
          <w:color w:val="auto"/>
        </w:rPr>
      </w:pPr>
    </w:p>
    <w:p>
      <w:pPr>
        <w:jc w:val="both"/>
        <w:ind w:left="340" w:hanging="332"/>
        <w:spacing w:after="0" w:line="231"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Resid Noteholders’ Objections</w:t>
      </w:r>
      <w:r>
        <w:rPr>
          <w:rFonts w:ascii="Times New Roman" w:cs="Times New Roman" w:eastAsia="Times New Roman" w:hAnsi="Times New Roman"/>
          <w:sz w:val="18"/>
          <w:szCs w:val="18"/>
          <w:color w:val="auto"/>
        </w:rPr>
        <w:t xml:space="preserve">” means (i) the </w:t>
      </w:r>
      <w:r>
        <w:rPr>
          <w:rFonts w:ascii="Times New Roman" w:cs="Times New Roman" w:eastAsia="Times New Roman" w:hAnsi="Times New Roman"/>
          <w:sz w:val="18"/>
          <w:szCs w:val="18"/>
          <w:i w:val="1"/>
          <w:iCs w:val="1"/>
          <w:color w:val="auto"/>
        </w:rPr>
        <w:t>Joint Objection of the Resid Secured Parties to Approval of the Debtors’ Sales Free and Clear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Pursuant to Section 363 </w:t>
      </w:r>
      <w:r>
        <w:rPr>
          <w:rFonts w:ascii="Times New Roman" w:cs="Times New Roman" w:eastAsia="Times New Roman" w:hAnsi="Times New Roman"/>
          <w:sz w:val="18"/>
          <w:szCs w:val="18"/>
          <w:color w:val="auto"/>
        </w:rPr>
        <w:t>[Docket No. 1156]; (ii)</w:t>
      </w:r>
      <w:r>
        <w:rPr>
          <w:rFonts w:ascii="Times New Roman" w:cs="Times New Roman" w:eastAsia="Times New Roman" w:hAnsi="Times New Roman"/>
          <w:sz w:val="18"/>
          <w:szCs w:val="18"/>
          <w:i w:val="1"/>
          <w:iCs w:val="1"/>
          <w:color w:val="auto"/>
        </w:rPr>
        <w:t xml:space="preserve"> Joint Limited Objection to, and Notice of Challenge Pursuant to, Emergency Motion of the Debtors for Entry of Interim and Final Orders (I) Authorizing the Debtors to Use Cash Collateral and Obtain Secured Postpetition 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 xml:space="preserve">[Docket No. 1157]; and (iii) </w:t>
      </w:r>
      <w:r>
        <w:rPr>
          <w:rFonts w:ascii="Times New Roman" w:cs="Times New Roman" w:eastAsia="Times New Roman" w:hAnsi="Times New Roman"/>
          <w:sz w:val="18"/>
          <w:szCs w:val="18"/>
          <w:i w:val="1"/>
          <w:iCs w:val="1"/>
          <w:color w:val="auto"/>
        </w:rPr>
        <w:t>352 Capital’s Omnibus Objection to the Claims of the FBG Prepetition Secured Parties, Pursuant to Bankruptcy 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Section 502, Bankruptcy Rule 3007, and Bankruptcy Local Rule 3007-1 on the Grounds that the Claims are Not Senior Secured Claims </w:t>
      </w:r>
      <w:r>
        <w:rPr>
          <w:rFonts w:ascii="Times New Roman" w:cs="Times New Roman" w:eastAsia="Times New Roman" w:hAnsi="Times New Roman"/>
          <w:sz w:val="18"/>
          <w:szCs w:val="18"/>
          <w:color w:val="auto"/>
        </w:rPr>
        <w:t>[Docket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1151].</w:t>
      </w:r>
    </w:p>
    <w:p>
      <w:pPr>
        <w:spacing w:after="0" w:line="201" w:lineRule="exact"/>
        <w:rPr>
          <w:sz w:val="20"/>
          <w:szCs w:val="20"/>
          <w:color w:val="auto"/>
        </w:rPr>
      </w:pPr>
    </w:p>
    <w:p>
      <w:pPr>
        <w:jc w:val="both"/>
        <w:ind w:left="340" w:hanging="332"/>
        <w:spacing w:after="0" w:line="211"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Committee Standing Motion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Motion of the Official Committee of Unsecured Creditors for (I) Leave, Standing, and Authority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Commence and Prosecute Certain Claims and Causes of Action on Behalf of the Debtors’ Estates and (II) Exclusive Settlement Authority in Connection Therewith </w:t>
      </w:r>
      <w:r>
        <w:rPr>
          <w:rFonts w:ascii="Times New Roman" w:cs="Times New Roman" w:eastAsia="Times New Roman" w:hAnsi="Times New Roman"/>
          <w:sz w:val="18"/>
          <w:szCs w:val="18"/>
          <w:color w:val="auto"/>
        </w:rPr>
        <w:t>[Docket No. 1176].</w:t>
      </w:r>
    </w:p>
    <w:p>
      <w:pPr>
        <w:spacing w:after="0" w:line="197" w:lineRule="exact"/>
        <w:rPr>
          <w:sz w:val="20"/>
          <w:szCs w:val="20"/>
          <w:color w:val="auto"/>
        </w:rPr>
      </w:pPr>
    </w:p>
    <w:p>
      <w:pPr>
        <w:ind w:left="340" w:hanging="332"/>
        <w:spacing w:after="0" w:line="196"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Manager Advance Complaint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Adversary Complaint Against the Securitization Issuers, the Other Securitization Entities,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Securitization Trustees </w:t>
      </w:r>
      <w:r>
        <w:rPr>
          <w:rFonts w:ascii="Times New Roman" w:cs="Times New Roman" w:eastAsia="Times New Roman" w:hAnsi="Times New Roman"/>
          <w:sz w:val="18"/>
          <w:szCs w:val="18"/>
          <w:color w:val="auto"/>
        </w:rPr>
        <w:t>[Docket No. 1178].</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4" w:lineRule="exact"/>
        <w:rPr>
          <w:sz w:val="20"/>
          <w:szCs w:val="20"/>
          <w:color w:val="auto"/>
        </w:rPr>
      </w:pPr>
    </w:p>
    <w:p>
      <w:pPr>
        <w:jc w:val="both"/>
        <w:ind w:left="2260" w:hanging="214"/>
        <w:spacing w:after="0" w:line="198" w:lineRule="auto"/>
        <w:tabs>
          <w:tab w:leader="none" w:pos="22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Resid Noteholder and Debtors shall file a notice of dismissal with prejudice of the Resid Adversary Proceeding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and the Resid State Court Action</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within two (2) business days following the closing of the Credit Bids or as soon as is practicable thereafter and, upon entry of the 9019 Order, all litigation therein shall be suspended until such dismissal or termination of this Term Sheet.</w:t>
      </w:r>
    </w:p>
    <w:p>
      <w:pPr>
        <w:spacing w:after="0" w:line="199" w:lineRule="exact"/>
        <w:rPr>
          <w:rFonts w:ascii="Times New Roman" w:cs="Times New Roman" w:eastAsia="Times New Roman" w:hAnsi="Times New Roman"/>
          <w:sz w:val="36"/>
          <w:szCs w:val="36"/>
          <w:color w:val="auto"/>
          <w:vertAlign w:val="superscript"/>
        </w:rPr>
      </w:pPr>
    </w:p>
    <w:p>
      <w:pPr>
        <w:ind w:left="2260" w:hanging="214"/>
        <w:spacing w:after="0" w:line="282"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binding commitment of the WBS Ad Hoc Group (or NewCos (as defined below)) to fund the Funding Amount as a condition precedent to the closing of the Credit Bids, on the terms and conditions set forth in this Term Sheet.</w:t>
      </w:r>
    </w:p>
    <w:p>
      <w:pPr>
        <w:spacing w:after="0" w:line="161" w:lineRule="exact"/>
        <w:rPr>
          <w:rFonts w:ascii="Times New Roman" w:cs="Times New Roman" w:eastAsia="Times New Roman" w:hAnsi="Times New Roman"/>
          <w:sz w:val="18"/>
          <w:szCs w:val="18"/>
          <w:color w:val="auto"/>
        </w:rPr>
      </w:pPr>
    </w:p>
    <w:p>
      <w:pPr>
        <w:jc w:val="both"/>
        <w:ind w:left="2260" w:hanging="214"/>
        <w:spacing w:after="0" w:line="266"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of any or all of the Chapter 11 Cases to chapter 7 or a termination of the Settlement following the closing of the Credit Bids, the “Allocation of Trust Interests and Recovery Waterfall” section of this Term Sheet shall govern the distribution of proceeds obtained by such chapter 7 trustee through the monetization of the Debtors’ assets.</w:t>
      </w:r>
    </w:p>
    <w:p>
      <w:pPr>
        <w:spacing w:after="0" w:line="175" w:lineRule="exact"/>
        <w:rPr>
          <w:rFonts w:ascii="Times New Roman" w:cs="Times New Roman" w:eastAsia="Times New Roman" w:hAnsi="Times New Roman"/>
          <w:sz w:val="18"/>
          <w:szCs w:val="18"/>
          <w:color w:val="auto"/>
        </w:rPr>
      </w:pPr>
    </w:p>
    <w:p>
      <w:pPr>
        <w:ind w:left="2260" w:right="20" w:hanging="214"/>
        <w:spacing w:after="0" w:line="282"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entry, the terms of the 9019 Order shall be binding on the Parties and their respective successors and assigns, including a chapter 7 trustee as provided in the preceding sentence.</w:t>
      </w:r>
    </w:p>
    <w:p>
      <w:pPr>
        <w:spacing w:after="0" w:line="161" w:lineRule="exact"/>
        <w:rPr>
          <w:rFonts w:ascii="Times New Roman" w:cs="Times New Roman" w:eastAsia="Times New Roman" w:hAnsi="Times New Roman"/>
          <w:sz w:val="18"/>
          <w:szCs w:val="18"/>
          <w:color w:val="auto"/>
        </w:rPr>
      </w:pPr>
    </w:p>
    <w:p>
      <w:pPr>
        <w:ind w:left="2260" w:right="20" w:hanging="214"/>
        <w:spacing w:after="0" w:line="282"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actions reasonably necessary to effectuate the Settlement in a manner consistent with the terms set forth herein.</w:t>
      </w:r>
    </w:p>
    <w:p>
      <w:pPr>
        <w:spacing w:after="0" w:line="161" w:lineRule="exact"/>
        <w:rPr>
          <w:rFonts w:ascii="Times New Roman" w:cs="Times New Roman" w:eastAsia="Times New Roman" w:hAnsi="Times New Roman"/>
          <w:sz w:val="18"/>
          <w:szCs w:val="18"/>
          <w:color w:val="auto"/>
        </w:rPr>
      </w:pPr>
    </w:p>
    <w:p>
      <w:pPr>
        <w:jc w:val="both"/>
        <w:ind w:left="2260" w:hanging="214"/>
        <w:spacing w:after="0" w:line="261"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Order approving a Credit Bid shall provide that (a) it is a condition precedent to the closing of each Credit Bid Sale that this Settlement remains effective and that the Funding Amounts have been paid (the “Settlement Closing Condition”) and (b) any waiver of the Settlement Closing Condition shall require the consent of each of the Committee, the WBS Ad Hoc Group, the Resid Noteholders and the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-3088640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Bids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hanging="21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WBS Ad Hoc Group shall credit bid for substantially all assets of the Debtors (other than (a) any estate claims and causes of action excluded from such sales under the relevant APA (as defined below) and (b) Alternative Sales) (the “Credit Bids”), which shall include, in the aggregate, at least the following consideration:</w:t>
      </w:r>
    </w:p>
    <w:p>
      <w:pPr>
        <w:spacing w:after="0" w:line="176" w:lineRule="exact"/>
        <w:rPr>
          <w:sz w:val="20"/>
          <w:szCs w:val="20"/>
          <w:color w:val="auto"/>
        </w:rPr>
      </w:pPr>
    </w:p>
    <w:p>
      <w:pPr>
        <w:sectPr>
          <w:pgSz w:w="11900" w:h="16838" w:orient="portrait"/>
          <w:cols w:equalWidth="0" w:num="2">
            <w:col w:w="1320" w:space="720"/>
            <w:col w:w="9200"/>
          </w:cols>
          <w:pgMar w:left="320" w:top="684" w:right="339" w:bottom="1440" w:gutter="0" w:footer="0" w:header="0"/>
          <w:type w:val="continuous"/>
        </w:sectPr>
      </w:pPr>
    </w:p>
    <w:p>
      <w:pPr>
        <w:jc w:val="both"/>
        <w:ind w:left="2260" w:hanging="214"/>
        <w:spacing w:after="0" w:line="266" w:lineRule="auto"/>
        <w:tabs>
          <w:tab w:leader="none" w:pos="2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DIP Claims related to the FBG New Money DIP Loans, the Twin New Money DIP Loans, the Twin Roll-Up DIP Loans, and the FBG Roll-Up DIP Loans in the amounts listed in the Closing Steps Plan attached as an exhibit to the asset purchase agreement applicable to each credit bid (each, an “APA”); and</w:t>
      </w:r>
    </w:p>
    <w:p>
      <w:pPr>
        <w:spacing w:after="0" w:line="175" w:lineRule="exact"/>
        <w:rPr>
          <w:rFonts w:ascii="Times New Roman" w:cs="Times New Roman" w:eastAsia="Times New Roman" w:hAnsi="Times New Roman"/>
          <w:sz w:val="18"/>
          <w:szCs w:val="18"/>
          <w:color w:val="auto"/>
        </w:rPr>
      </w:pPr>
    </w:p>
    <w:p>
      <w:pPr>
        <w:ind w:left="2260" w:hanging="214"/>
        <w:spacing w:after="0" w:line="282" w:lineRule="auto"/>
        <w:tabs>
          <w:tab w:leader="none" w:pos="2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related to the Prepetition Notes in the amounts listed in the Closing Steps Plan attached as an exhibit to the APA applicable to each Credit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7" w:lineRule="exact"/>
        <w:rPr>
          <w:sz w:val="20"/>
          <w:szCs w:val="20"/>
          <w:color w:val="auto"/>
        </w:rPr>
      </w:pPr>
    </w:p>
    <w:p>
      <w:pPr>
        <w:ind w:left="340" w:hanging="332"/>
        <w:spacing w:after="0" w:line="196"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Resid Adversary Proceeding</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3|5|2 Capital GP LLC, on behalf of 3|5|2 Capital ABS Master Fund LP v. FAT Brands Inc. and FB Resid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 LLC</w:t>
      </w:r>
      <w:r>
        <w:rPr>
          <w:rFonts w:ascii="Times New Roman" w:cs="Times New Roman" w:eastAsia="Times New Roman" w:hAnsi="Times New Roman"/>
          <w:sz w:val="18"/>
          <w:szCs w:val="18"/>
          <w:color w:val="auto"/>
        </w:rPr>
        <w:t>, Adv. Proc. No. 26-03053 (ARP).</w:t>
      </w:r>
    </w:p>
    <w:p>
      <w:pPr>
        <w:spacing w:after="0" w:line="197" w:lineRule="exact"/>
        <w:rPr>
          <w:sz w:val="20"/>
          <w:szCs w:val="20"/>
          <w:color w:val="auto"/>
        </w:rPr>
      </w:pPr>
    </w:p>
    <w:p>
      <w:pPr>
        <w:ind w:left="340" w:right="20" w:hanging="332"/>
        <w:spacing w:after="0" w:line="196"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Resid State Court Action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3|5|2 Capital GP LLC v. FAT Brands, Inc., et al.</w:t>
      </w:r>
      <w:r>
        <w:rPr>
          <w:rFonts w:ascii="Times New Roman" w:cs="Times New Roman" w:eastAsia="Times New Roman" w:hAnsi="Times New Roman"/>
          <w:sz w:val="18"/>
          <w:szCs w:val="18"/>
          <w:color w:val="auto"/>
        </w:rPr>
        <w:t xml:space="preserve"> (NYSCEF Index No. 650417/2026) filed in New York County Supreme Court.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0" w:lineRule="exact"/>
        <w:rPr>
          <w:sz w:val="20"/>
          <w:szCs w:val="20"/>
          <w:color w:val="auto"/>
        </w:rPr>
      </w:pPr>
    </w:p>
    <w:p>
      <w:pPr>
        <w:jc w:val="both"/>
        <w:ind w:left="2040" w:hanging="223"/>
        <w:spacing w:after="0" w:line="245"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WBS Ad Hoc Group, as part of its acquisition of the Debtors’ assets pursuant to the Credit Bids, shall assume or satisfy various claims and liabilities at the Sellers (as defined in the APAs), all in accordance with the applicable APAs, including: (a) cure amounts related to assumption and assignment of leases, franchise agreements, and other contracts, designated for assumption; (b) Gift Card Liabilities; (c) Ad Fund Marketing Funds; (d) Credit Card Payables; (e) Rebates Payable; (f) liabilities of the Debtors with respect to unpaid salary and wages, quarterly commissions, employee expense reimbursement and employee retention payments for the then-current period and self-insured medical benefits, as reflected in the applicable APAs, and (g) and other Assumed Liabilities (as defined in the APAs) assumed by the applicable NewCo pursuant to the APAs. Cash held in the UMB Trust Accounts, </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except for a holdback of $1.0 million (the “Trustee/Agent Holdback”) to cover the reasonable fees and expenses of the Prepetition Trustees and DIP Agent and their respective counsel and any other valid claim for indemnity under the FBG Prepetition Indentures or the Twin Prepetition Indenture, shall be an acquired asset and shall be used to fund the Chapter 11 Plan Reserve, as set forth herein. Any amounts of the Trustee/Agent Holdback not expended for the payment of fees and expenses of the Prepetition Trustees, DIP Agent and their respective counsel shall be applied to pay down the NewCo Funding Claims on a dollar-for-dollar basis (after taking into account the applicable interest accrued thereon). Cash funded by the purchaser of the HDOS assets to fund operations of owned HDOS locations that are subject to reserved leases and all revenues of such reserved lease HDOS locations during the designation rights period contemplated by the HDOS APA shall be carved out of the Credit Bids.</w:t>
      </w:r>
    </w:p>
    <w:p>
      <w:pPr>
        <w:spacing w:after="0" w:line="202" w:lineRule="exact"/>
        <w:rPr>
          <w:rFonts w:ascii="Times New Roman" w:cs="Times New Roman" w:eastAsia="Times New Roman" w:hAnsi="Times New Roman"/>
          <w:sz w:val="18"/>
          <w:szCs w:val="18"/>
          <w:color w:val="auto"/>
        </w:rPr>
      </w:pPr>
    </w:p>
    <w:p>
      <w:pPr>
        <w:jc w:val="both"/>
        <w:ind w:left="2040" w:hanging="223"/>
        <w:spacing w:after="0" w:line="255"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consummation of the Credit Bids will be the parties’ agreement on the tax structuring and funding of U.S. federal, state, local and non-U.S. taxes (including transfer taxes), charges, levies, fees and similar assessments, including interest, penalties and additions thereto (collectively, “Taxes”) arising from or in connection with WBS Ad Hoc Group’s acquisition of the Debtors’ assets pursuant to the Credit Bids and any additional Taxes not related to the Credit Bids or otherwise incurred by the Debtors and their subsidiaries through the consummation of their wind-down (all such Taxes, collectively, the “Specified Taxes”). In the event such agreement is not reached, no party shall be obligated to close the Credit Bids.</w:t>
      </w:r>
    </w:p>
    <w:p>
      <w:pPr>
        <w:spacing w:after="0" w:line="188" w:lineRule="exact"/>
        <w:rPr>
          <w:rFonts w:ascii="Times New Roman" w:cs="Times New Roman" w:eastAsia="Times New Roman" w:hAnsi="Times New Roman"/>
          <w:sz w:val="18"/>
          <w:szCs w:val="18"/>
          <w:color w:val="auto"/>
        </w:rPr>
      </w:pPr>
    </w:p>
    <w:p>
      <w:pPr>
        <w:jc w:val="both"/>
        <w:ind w:left="2040" w:hanging="223"/>
        <w:spacing w:after="0" w:line="256"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WBS Ad Hoc Group, in consultation with the Committee and the Debtors, has elected to carve out certain assets from the assets subject to the Credit Bids and permit such assets to be sold to third-parties pursuant to the Bid Procedures (including, for example, Elevation Burger and HDOS assets that are subject to the DIP Lenders or Prepetition Noteholders liens, collectively, the “Alternative Sales”) or contributed to the Liquidation Trust.9 The net proceeds of the Alternative Sales shall be used to fund the Chapter 11 Plan Reserve or the Liquidation Trust Funding Amount in whole or in part. Such Alternative Sales may be approved concurrently with the Credit Bids.</w:t>
      </w:r>
    </w:p>
    <w:p>
      <w:pPr>
        <w:spacing w:after="0" w:line="187" w:lineRule="exact"/>
        <w:rPr>
          <w:rFonts w:ascii="Times New Roman" w:cs="Times New Roman" w:eastAsia="Times New Roman" w:hAnsi="Times New Roman"/>
          <w:sz w:val="18"/>
          <w:szCs w:val="18"/>
          <w:color w:val="auto"/>
        </w:rPr>
      </w:pPr>
    </w:p>
    <w:p>
      <w:pPr>
        <w:ind w:left="2040" w:hanging="223"/>
        <w:spacing w:after="0" w:line="282"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$445.9 million of Prepetition Secured Obligations not utilized as part of the Credit Bids shall be allowed as general unsecured claims against the applicable Debtors and FAT Brands Inc. (the “Noteholder Deficiency/Guarantee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-4719955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9" w:lineRule="exact"/>
        <w:rPr>
          <w:sz w:val="20"/>
          <w:szCs w:val="20"/>
          <w:color w:val="auto"/>
        </w:rPr>
      </w:pPr>
    </w:p>
    <w:p>
      <w:pPr>
        <w:jc w:val="both"/>
        <w:ind w:left="340" w:hanging="332"/>
        <w:spacing w:after="0" w:line="210"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UMB Trust Accounts</w:t>
      </w:r>
      <w:r>
        <w:rPr>
          <w:rFonts w:ascii="Times New Roman" w:cs="Times New Roman" w:eastAsia="Times New Roman" w:hAnsi="Times New Roman"/>
          <w:sz w:val="18"/>
          <w:szCs w:val="18"/>
          <w:color w:val="auto"/>
        </w:rPr>
        <w:t xml:space="preserve">” means the WBS Collection Accounts, WBS Reserve Accounts, and WBS Collection Account Administrative Account (each as defined in the Cash Management Motion);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definition of UMB Trust Accounts shall not include the Resid Trust Account.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80" w:type="dxa"/>
            <w:vAlign w:val="bottom"/>
          </w:tcPr>
          <w:p>
            <w:pPr>
              <w:spacing w:after="0"/>
              <w:rPr>
                <w:sz w:val="21"/>
                <w:szCs w:val="21"/>
                <w:color w:val="auto"/>
              </w:rPr>
            </w:pPr>
          </w:p>
        </w:tc>
        <w:tc>
          <w:tcPr>
            <w:tcW w:w="906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General Description</w:t>
            </w:r>
          </w:p>
        </w:tc>
      </w:tr>
      <w:tr>
        <w:trPr>
          <w:trHeight w:val="198"/>
        </w:trPr>
        <w:tc>
          <w:tcPr>
            <w:tcW w:w="1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Chapter 11 Plan</w:t>
            </w:r>
          </w:p>
        </w:tc>
        <w:tc>
          <w:tcPr>
            <w:tcW w:w="120" w:type="dxa"/>
            <w:vAlign w:val="bottom"/>
          </w:tcPr>
          <w:p>
            <w:pPr>
              <w:spacing w:after="0"/>
              <w:rPr>
                <w:sz w:val="17"/>
                <w:szCs w:val="17"/>
                <w:color w:val="auto"/>
              </w:rPr>
            </w:pPr>
          </w:p>
        </w:tc>
        <w:tc>
          <w:tcPr>
            <w:tcW w:w="942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  The Debtors shall file a plan of liquidation, which shall reflect the terms of this Settlement and otherwise be reasonably</w:t>
            </w:r>
          </w:p>
        </w:tc>
        <w:tc>
          <w:tcPr>
            <w:tcW w:w="2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acceptable to the Debtors, the Committee, the Resid Noteholders, and the WBS Ad Hoc Group (“Chapter 11 Plan”).</w:t>
            </w:r>
          </w:p>
        </w:tc>
      </w:tr>
      <w:tr>
        <w:trPr>
          <w:trHeight w:val="43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The Chapter 11 Plan shall provide for, among other things:</w:t>
            </w:r>
          </w:p>
        </w:tc>
      </w:tr>
      <w:tr>
        <w:trPr>
          <w:trHeight w:val="43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the post-Plan Effective Date wind-down of the Debtors’ remaining estates;</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a condition of the effectiveness of the Chapter 11 Plan, the payment of all allowed administrative expense and priority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claims (to the extent not already paid pursuant to the DIP Order or Sale Orders) in accordance with a wind-down budget 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 reasonably agreed by the Debtors, Committee, and WBS Ad Hoc Group (the “Wind-Down Budget”), including (a)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payment of allowed professional fees of the Debtors, the Committee, and the WBS Ad Hoc Group, in full, on the effective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date of the Chapter 11 Plan (the “Plan Effective Date”) and (b) the payment of allowed fees and expenses of the Prepetition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Trustees and the DIP Agent and their respective counsel (“Trustee and Agent Fees”) that have been invoiced to the Debtors</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of the date hereof.</w:t>
            </w:r>
          </w:p>
        </w:tc>
      </w:tr>
      <w:tr>
        <w:trPr>
          <w:trHeight w:val="43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formation of the Liquidation Trust (as defined below);</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establishment of a reserve for contingent administrative expense and priority claims, and the reconciliation and payment</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thereof (the “Disputed Claims Reserve”), which shall be contributed to the Liquidation Trust on the Plan Effective Date;</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Plan Releases (as defined below) as modified by the Schedule of Non-Released or Released Parties/Claims (as defined</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below); and</w:t>
            </w:r>
          </w:p>
        </w:tc>
      </w:tr>
    </w:tbl>
    <w:p>
      <w:pPr>
        <w:spacing w:after="0" w:line="19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 the deemed substantive consolidation of the Debtors for purposes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0" w:lineRule="exact"/>
        <w:rPr>
          <w:sz w:val="20"/>
          <w:szCs w:val="20"/>
          <w:color w:val="auto"/>
        </w:rPr>
      </w:pPr>
    </w:p>
    <w:p>
      <w:pPr>
        <w:jc w:val="both"/>
        <w:ind w:left="340" w:hanging="332"/>
        <w:spacing w:after="0" w:line="219"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Bid Procedures</w:t>
      </w:r>
      <w:r>
        <w:rPr>
          <w:rFonts w:ascii="Times New Roman" w:cs="Times New Roman" w:eastAsia="Times New Roman" w:hAnsi="Times New Roman"/>
          <w:sz w:val="18"/>
          <w:szCs w:val="18"/>
          <w:color w:val="auto"/>
        </w:rPr>
        <w:t xml:space="preserve">” shall mean the procedures for the Debtors to sell substantially all of their assets pursuant to the </w:t>
      </w:r>
      <w:r>
        <w:rPr>
          <w:rFonts w:ascii="Times New Roman" w:cs="Times New Roman" w:eastAsia="Times New Roman" w:hAnsi="Times New Roman"/>
          <w:sz w:val="18"/>
          <w:szCs w:val="18"/>
          <w:i w:val="1"/>
          <w:iCs w:val="1"/>
          <w:color w:val="auto"/>
        </w:rPr>
        <w:t>Order (I) Approving Bidding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for Sale of Debtors’ Assets; (II) Establishing Procedures 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80" w:type="dxa"/>
            <w:vAlign w:val="bottom"/>
          </w:tcPr>
          <w:p>
            <w:pPr>
              <w:spacing w:after="0"/>
              <w:rPr>
                <w:sz w:val="21"/>
                <w:szCs w:val="21"/>
                <w:color w:val="auto"/>
              </w:rPr>
            </w:pPr>
          </w:p>
        </w:tc>
        <w:tc>
          <w:tcPr>
            <w:tcW w:w="90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General Description</w:t>
            </w:r>
          </w:p>
        </w:tc>
      </w:tr>
      <w:tr>
        <w:trPr>
          <w:trHeight w:val="198"/>
        </w:trPr>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  The WBS Ad Hoc Group, the Resid Noteholders, and Committee shall support confirmation of the Chapter 11 Plan (including,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the case of the members of the WBS Ad Hoc Group and the Resid Noteholders, voting all claims and interests held by such</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party in support of such Chapter 11 Plan).</w:t>
            </w:r>
          </w:p>
        </w:tc>
      </w:tr>
      <w:tr>
        <w:trPr>
          <w:trHeight w:val="41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Milestones</w:t>
            </w:r>
          </w:p>
        </w:tc>
        <w:tc>
          <w:tcPr>
            <w:tcW w:w="9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In exchange for the consideration provided under this Term Sheet, the Parties agree to adhere to the following milestones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“Plan Milestones”), each of which may be extended with the prior written consent of the Committee and the Required DIP</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Lenders (including via email from the Committee and the Required DIP Lenders’ counsel):</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May 22, 2026, the Debtors shall file the Chapter 11 Plan and a disclosure statement related thereto (the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Statement”);</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7 calendar days after the filing of the Chapter 11 Plan and Disclosure Statement, the Bankruptcy Court shall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entered an order conditionally approving the Disclosure Statement and the solicitation procedures related thereto (the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“Solicitation Procedures Order”);</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no later than 3 business days after entry of the Solicitation Procedures Order, the Debtors shall complete solicitation of votes</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the Chapter 11 Plan;</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28 calendar days after completion of solicitation and service of the notice of combined hearing, the deadline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casting votes to accept or reject the Chapter 11 Plan shall occur (the “Voting Deadline”);</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6 days after the Voting Deadline, the Bankruptcy Court shall conduct a combined hearing to consider final</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approval of the Disclosure Statement and confirmation of the Chapter 11 Plan (the “Confirmation Hearing”);</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1 business days after the Confirmation Hearing, the Bankruptcy Court shall have entered an order confirming</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Chapter 11 Plan (the “Confirmation Order”); and</w:t>
            </w:r>
          </w:p>
        </w:tc>
      </w:tr>
      <w:tr>
        <w:trPr>
          <w:trHeight w:val="41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later than 5 business days after entry of the Confirmation Order, the Plan Effective Date of the Chapter 11 Plan shall</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occur.</w:t>
            </w:r>
          </w:p>
        </w:tc>
      </w:tr>
    </w:tbl>
    <w:p>
      <w:pPr>
        <w:spacing w:after="0" w:line="198" w:lineRule="exact"/>
        <w:rPr>
          <w:sz w:val="20"/>
          <w:szCs w:val="20"/>
          <w:color w:val="auto"/>
        </w:rPr>
      </w:pPr>
    </w:p>
    <w:p>
      <w:pPr>
        <w:ind w:left="2040" w:hanging="219"/>
        <w:spacing w:after="0" w:line="282" w:lineRule="auto"/>
        <w:tabs>
          <w:tab w:leader="none" w:pos="2020" w:val="left"/>
        </w:tabs>
        <w:rPr>
          <w:sz w:val="20"/>
          <w:szCs w:val="20"/>
          <w:color w:val="auto"/>
        </w:rPr>
      </w:pPr>
      <w:r>
        <w:rPr>
          <w:rFonts w:ascii="Times New Roman" w:cs="Times New Roman" w:eastAsia="Times New Roman" w:hAnsi="Times New Roman"/>
          <w:sz w:val="18"/>
          <w:szCs w:val="18"/>
          <w:color w:val="auto"/>
        </w:rPr>
        <w:t>●</w:t>
        <w:tab/>
        <w:t>Failure to satisfy any Plan Milestone shall constitute a termination event under this Term Sheet unless waived in writing by the Required DIP Lenders and the Committee.</w:t>
      </w:r>
    </w:p>
    <w:p>
      <w:pPr>
        <w:spacing w:after="0" w:line="158" w:lineRule="exact"/>
        <w:rPr>
          <w:sz w:val="20"/>
          <w:szCs w:val="20"/>
          <w:color w:val="auto"/>
        </w:rPr>
      </w:pPr>
    </w:p>
    <w:p>
      <w:pPr>
        <w:ind w:left="2040" w:right="20" w:hanging="203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Committee Challenge </w:t>
      </w:r>
      <w:r>
        <w:rPr>
          <w:rFonts w:ascii="Times New Roman" w:cs="Times New Roman" w:eastAsia="Times New Roman" w:hAnsi="Times New Roman"/>
          <w:sz w:val="18"/>
          <w:szCs w:val="18"/>
          <w:color w:val="auto"/>
        </w:rPr>
        <w:t>● The Committee shall support the Credit Bids and support the Chapter 11 Plan (each, as described herein). The Committee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a letter to general unsecured creditors encouraging them to vote in favor of the Chapter 11 Plan.</w:t>
      </w:r>
    </w:p>
    <w:p>
      <w:pPr>
        <w:spacing w:after="0" w:line="159" w:lineRule="exact"/>
        <w:rPr>
          <w:sz w:val="20"/>
          <w:szCs w:val="20"/>
          <w:color w:val="auto"/>
        </w:rPr>
      </w:pPr>
    </w:p>
    <w:p>
      <w:pPr>
        <w:jc w:val="both"/>
        <w:ind w:left="2040" w:hanging="223"/>
        <w:spacing w:after="0" w:line="253" w:lineRule="auto"/>
        <w:tabs>
          <w:tab w:leader="none" w:pos="2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not pursue any Challenge or objection regarding (each of the following, a “Committee Objection”) (i) entry of the Final DIP Order (which shall include, without limitation, waivers of the equities of the case exception under section 552(b) of the Bankruptcy Code, any right to surcharge collateral under section 506(c) of the Bankruptcy Code, and any marshalling doctrine), (ii) any Challenge under the DIP Order (including in respect of the Prepetition Liens of the Prepetition Secured Parties whether or not subject to the Roll-Up), (iii) any claims between a Manager and a Securitization Entity on account of Manager Advances (the “Manager Advance Claims”), (iv) any claims between a Manager and a Securitization Entity on account of any Management Fees (the “Management Fee Claims”), (v) any arguments that the Prepetition Secured Obligations are junior in priority to any Excluded Amounts (as defined in the Prepetition Documents), (vi) any objections to the sale of the Debtors’ assets to the members of the WBS Ad Hoc Group (or their designee(s)), including any objections to the Credit Bids and any post-auction objections, and (vii) any objections to confirmation of the Chapter 11 Plan reflecting the terms set forth in this Term Sheet.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4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General Description</w:t>
            </w:r>
          </w:p>
        </w:tc>
      </w:tr>
      <w:tr>
        <w:trPr>
          <w:trHeight w:val="198"/>
        </w:trPr>
        <w:tc>
          <w:tcPr>
            <w:tcW w:w="1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Liquidation Trust</w:t>
            </w:r>
          </w:p>
        </w:tc>
        <w:tc>
          <w:tcPr>
            <w:tcW w:w="120" w:type="dxa"/>
            <w:vAlign w:val="bottom"/>
          </w:tcPr>
          <w:p>
            <w:pPr>
              <w:spacing w:after="0"/>
              <w:rPr>
                <w:sz w:val="17"/>
                <w:szCs w:val="17"/>
                <w:color w:val="auto"/>
              </w:rPr>
            </w:pPr>
          </w:p>
        </w:tc>
        <w:tc>
          <w:tcPr>
            <w:tcW w:w="9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The Chapter 11 Plan shall provide for the formation of a liquidation trust (the “Liquidation Trust”) that shall be vested with (a)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DIP Contributed Assets (as defined below), (b) any Specified Securitization Entity Assets (as defined below), including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Securitization Entity Claims, (c) all of the Debtors’ claims and causes of action against Andrew Wiederhorn, his family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and any entity in which Andrew Wiederhorn or any family member, directly or indirectly, (i) owns or controls any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or economic interest, (ii) is a beneficiary, or (iii) otherwise has a material interest, whether through ownership, contract,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 proxy, or other arrangement (with respect to (i) through (iii), other than the Debtors), (d) all of the Debtors’ commercial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tort claims, and (e) all other estate causes of action, with respect to the foregoing clauses (a) through (e), not released under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Chapter 11 Plan or sold in the sale to the members of the WBS Ad Hoc Group (any such claims and causes of action in (b)</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through (e), the “Retained Causes of Action,” and together with the DIP Contributed Assets and Specified Securitization Entity</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the “Liquidation Trust Assets”).</w:t>
            </w:r>
          </w:p>
        </w:tc>
      </w:tr>
    </w:tbl>
    <w:p>
      <w:pPr>
        <w:spacing w:after="0" w:line="198" w:lineRule="exact"/>
        <w:rPr>
          <w:sz w:val="20"/>
          <w:szCs w:val="20"/>
          <w:color w:val="auto"/>
        </w:rPr>
      </w:pPr>
    </w:p>
    <w:p>
      <w:pPr>
        <w:jc w:val="both"/>
        <w:ind w:left="2260" w:hanging="214"/>
        <w:spacing w:after="0" w:line="255"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DIP Contributed Assets. The Required DIP Lenders shall consent to the contribution of the “DIP Contributed Assets” to the Liquidation Trust, which shall include: (a) the proceeds from the sale of any DIP Collateral approved by the Required DIP Lenders; (b) all claims and proceeds of Avoidance Actions held by the Debtors against any party (other than any Avoidance Actions sold under the Credit Bids); (c) claims of the Debtors against directors and officers for breach of fiduciary duties;</w:t>
      </w:r>
    </w:p>
    <w:p>
      <w:pPr>
        <w:spacing w:after="0" w:line="2" w:lineRule="exact"/>
        <w:rPr>
          <w:rFonts w:ascii="Times New Roman" w:cs="Times New Roman" w:eastAsia="Times New Roman" w:hAnsi="Times New Roman"/>
          <w:sz w:val="18"/>
          <w:szCs w:val="18"/>
          <w:color w:val="auto"/>
        </w:rPr>
      </w:pPr>
    </w:p>
    <w:p>
      <w:pPr>
        <w:jc w:val="both"/>
        <w:ind w:left="2260" w:firstLine="2"/>
        <w:spacing w:after="0" w:line="251" w:lineRule="auto"/>
        <w:tabs>
          <w:tab w:leader="none" w:pos="25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claims of any of the Debtors under any D&amp;O policies and the proceeds thereof; and (e) all other commercial tort claims held by any of the Debtors against any party; and (f) such other assets at entities where the Prepetition Secured Parties do not hold Prepetition Liens, including cash and accounts receivables. The Required DIP Lenders shall consent to the release and extinguishment of any Intercompany Claims among the Debtors and shall release any DIP Liens on such Intercompany Claims (and for the avoidance of doubt, no Intercompany Claims (including any intercompany payables or receivables) by and among the Debtors shall be considered an acquired asset under any APA and shall instead be fully extinguished in accordance with the Chapter 11 Plan). If any of the DIP Contributed Assets are monetized pursuant to the sale process or otherwise, the cash proceeds shall be applied towards the funding of the Chapter 11 Plan Reserve.</w:t>
      </w:r>
    </w:p>
    <w:p>
      <w:pPr>
        <w:spacing w:after="0" w:line="193" w:lineRule="exact"/>
        <w:rPr>
          <w:rFonts w:ascii="Times New Roman" w:cs="Times New Roman" w:eastAsia="Times New Roman" w:hAnsi="Times New Roman"/>
          <w:sz w:val="18"/>
          <w:szCs w:val="18"/>
          <w:color w:val="auto"/>
        </w:rPr>
      </w:pPr>
    </w:p>
    <w:p>
      <w:pPr>
        <w:jc w:val="both"/>
        <w:ind w:left="2260" w:hanging="214"/>
        <w:spacing w:after="0" w:line="256"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Securitization Entity Assets. The WBS Ad Hoc Group shall consent to the contribution of the following Securitization Entity assets (the “Specified Securitization Entity Assets”) to the Liquidation Trust: (a) all claims, including Avoidance Actions not acquired under the Credit Bid, breach of fiduciary duty claims, and similar claims held by the Securitization Entities against the Managers, and current and former officers, directors, affiliates, and insiders of the Debtors; (b) all rights and claims of the Securitization Entities under any D&amp;O policies and the proceeds thereof; and (c) net cash proceeds of the sale of any Securitization Entity’s assets pursuant to an Alternative 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3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Additional Funding</w:t>
      </w:r>
      <w:r>
        <w:rPr>
          <w:sz w:val="20"/>
          <w:szCs w:val="20"/>
          <w:color w:val="auto"/>
        </w:rPr>
        <w:tab/>
      </w:r>
      <w:r>
        <w:rPr>
          <w:rFonts w:ascii="Times New Roman" w:cs="Times New Roman" w:eastAsia="Times New Roman" w:hAnsi="Times New Roman"/>
          <w:sz w:val="18"/>
          <w:szCs w:val="18"/>
          <w:color w:val="auto"/>
        </w:rPr>
        <w:t>● In connection with consummation of the Credit Bids, and upon the satisfaction or waiver of any applicable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Chapter 11 Plan</w:t>
      </w:r>
      <w:r>
        <w:rPr>
          <w:rFonts w:ascii="Times New Roman" w:cs="Times New Roman" w:eastAsia="Times New Roman" w:hAnsi="Times New Roman"/>
          <w:sz w:val="18"/>
          <w:szCs w:val="18"/>
          <w:color w:val="auto"/>
        </w:rPr>
        <w:t>precedent under the APAs, the entities formed to acquire the assets in the Credit Bids (the “NewCos”) shall fund an additional</w:t>
      </w:r>
    </w:p>
    <w:p>
      <w:pPr>
        <w:sectPr>
          <w:pgSz w:w="11900" w:h="16838" w:orient="portrait"/>
          <w:cols w:equalWidth="0" w:num="1">
            <w:col w:w="11240"/>
          </w:cols>
          <w:pgMar w:left="320" w:top="684"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$9.23 million (the “Funding Amount”), subject to any decrease in connection with the Professional Fee Surplus (as defined below), subject to any increase in funding based on the agreed tax structure and to satisfy all Specified Taxes, in cash consideration to be used to fund (a) the Debtors’, DIP Lenders’ and Prepetition Secured Parties’ pre-sale consummation costs and the costs required to consummate each sale under each of the Credit Bids as reflected in the Wind-Down Budget, and (b) the remainder of the chapter 11 plan process, including the confirmation and the consummation of a Chapter 11 Plan and, for the avoidance of doubt, the Specified Taxes (the “Chapter 11 Plan Reserve”), in each case, subject to compliance with the Wind-Down Budget and the Plan Milestones (unless waived by the Required DIP Lenders and Committee, as applicable). The Funding Amount shall be allocated between the NewCos as agreed by the WBS Ad Hoc Group. The Chapter 11 Plan Reserve shall be funded with (a) cash that is excluded from the Credit Bids, (b) the net proceeds of an Alternative Sale received concurrently with consummation of the Credit Bids, (c) the Funding Amount to be funded by NewCos, (d) the proceeds of the Broiler Chicken Class Action Settlement and (e) any cash held in the UMB Trust Accounts after payment of fees and expenses entitled to be paid therefrom under the applicable prepetition securitization indenture (and after deduction of the Trustee/Agent Holdback).</w:t>
      </w:r>
    </w:p>
    <w:p>
      <w:pPr>
        <w:spacing w:after="0" w:line="192" w:lineRule="exact"/>
        <w:rPr>
          <w:sz w:val="20"/>
          <w:szCs w:val="20"/>
          <w:color w:val="auto"/>
        </w:rPr>
      </w:pPr>
    </w:p>
    <w:p>
      <w:pPr>
        <w:sectPr>
          <w:pgSz w:w="11900" w:h="16838" w:orient="portrait"/>
          <w:cols w:equalWidth="0" w:num="2">
            <w:col w:w="1320" w:space="720"/>
            <w:col w:w="9200"/>
          </w:cols>
          <w:pgMar w:left="320" w:top="684" w:right="339" w:bottom="1440" w:gutter="0" w:footer="0" w:header="0"/>
          <w:type w:val="continuous"/>
        </w:sectPr>
      </w:pPr>
    </w:p>
    <w:p>
      <w:pPr>
        <w:jc w:val="both"/>
        <w:ind w:left="2040" w:hanging="223"/>
        <w:spacing w:after="0" w:line="266" w:lineRule="auto"/>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Chapter 11 Plan Reserve will provide for payment of allowed administrative expense and priority claims of all Debtors in full on the Plan Effective Date, the reasonable costs of the wind-down of the estates, and funding of the Liquidation Trust Funding Amount (as defined below) as set forth in the Wind-Down Budget.</w:t>
      </w:r>
    </w:p>
    <w:p>
      <w:pPr>
        <w:spacing w:after="0" w:line="175" w:lineRule="exact"/>
        <w:rPr>
          <w:rFonts w:ascii="Times New Roman" w:cs="Times New Roman" w:eastAsia="Times New Roman" w:hAnsi="Times New Roman"/>
          <w:sz w:val="18"/>
          <w:szCs w:val="18"/>
          <w:color w:val="auto"/>
        </w:rPr>
      </w:pPr>
    </w:p>
    <w:p>
      <w:pPr>
        <w:jc w:val="both"/>
        <w:ind w:left="2040" w:hanging="223"/>
        <w:spacing w:after="0" w:line="258" w:lineRule="auto"/>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NewCos shall place their allocable share of the Funding Amount into a segregated account upon closing of the Credit Bids to be used in accordance with the Wind-Down Budget (and subject to entry of the 9019 Order). In the event of termination of this Term Sheet, subject to the Carve-Out, the amounts held in the segregated account shall be distributed in order to fund a chapter 7 trustee process and/or Liquidation Trust, and otherwise in accordance with the waterfall set forth in the “Allocation of Trust Interests and Recovery Waterfall” section hereof.</w:t>
      </w:r>
    </w:p>
    <w:p>
      <w:pPr>
        <w:spacing w:after="0" w:line="183" w:lineRule="exact"/>
        <w:rPr>
          <w:rFonts w:ascii="Times New Roman" w:cs="Times New Roman" w:eastAsia="Times New Roman" w:hAnsi="Times New Roman"/>
          <w:sz w:val="18"/>
          <w:szCs w:val="18"/>
          <w:color w:val="auto"/>
        </w:rPr>
      </w:pPr>
    </w:p>
    <w:p>
      <w:pPr>
        <w:jc w:val="both"/>
        <w:ind w:left="2040" w:hanging="223"/>
        <w:spacing w:after="0" w:line="266" w:lineRule="auto"/>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providing the Funding Amount, NewCos shall be entitled to repayment, from the Liquidation Trust, of $9.23 million (the “NewCo Funding Claims”); provided that the NewCo Funding Claims shall increase by 12% per annum on any unrecovered amounts.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44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General Description</w:t>
            </w:r>
          </w:p>
        </w:tc>
      </w:tr>
      <w:tr>
        <w:trPr>
          <w:trHeight w:val="194"/>
        </w:trPr>
        <w:tc>
          <w:tcPr>
            <w:tcW w:w="17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Liquidation Trust</w:t>
            </w:r>
          </w:p>
        </w:tc>
        <w:tc>
          <w:tcPr>
            <w:tcW w:w="120" w:type="dxa"/>
            <w:vAlign w:val="bottom"/>
          </w:tcPr>
          <w:p>
            <w:pPr>
              <w:spacing w:after="0"/>
              <w:rPr>
                <w:sz w:val="16"/>
                <w:szCs w:val="16"/>
                <w:color w:val="auto"/>
              </w:rPr>
            </w:pPr>
          </w:p>
        </w:tc>
        <w:tc>
          <w:tcPr>
            <w:tcW w:w="94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The Liquidation Trust shall be funded with at least $1.5 million from the Chapter 11 Plan Reserve (the “Liquidation Trust</w:t>
            </w:r>
          </w:p>
        </w:tc>
        <w:tc>
          <w:tcPr>
            <w:tcW w:w="20" w:type="dxa"/>
            <w:vAlign w:val="bottom"/>
          </w:tcPr>
          <w:p>
            <w:pPr>
              <w:spacing w:after="0"/>
              <w:rPr>
                <w:sz w:val="16"/>
                <w:szCs w:val="16"/>
                <w:color w:val="auto"/>
              </w:rPr>
            </w:pP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Funding Amount”) on the Plan Effective Date, subject to any increase in connection with the Professional Fee Surplus.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Liquidation Trust Funding Amount shall be a line item in the Chapter 11 Plan Reserve and used to prosecute and monetize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Liquidation Trust Assets, including the initial costs of the Liquidation Trustee, or otherwise in accordance with the Wind-Down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Budget. Amounts included in the Chapter 11 Plan Reserve for any contingent, disputed administrative expense and priority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claims or payment of wind-down costs and expenses shall be vested in the Liquidation Trust on the Plan Effective Date.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Liquidation Trust Fees and Expenses shall be paid from the Liquidation Trust Funding Amount (and the proceeds thereof), the</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monetization of the Liquidation Trust Assets, or other funding obtained by the Liquidation Trust.</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Professional Fee</w:t>
            </w: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If aggregate professional fees of the advisors to the Parties are less than the amounts set forth in the Wind-Down Budget after</w:t>
            </w:r>
          </w:p>
        </w:tc>
      </w:tr>
      <w:tr>
        <w:trPr>
          <w:trHeight w:val="22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all professional fees allowed by the Bankruptcy Court have been irrevocably paid in full, up to $7.0 million (“Professional Fee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Surplus”) shall be applied as follows: (i) 50% of such Professional Fee Surplus shall decrease the Funding Amount and (ii)</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 of such Professional Fee Surplus shall increase the Liquidation Trust Funding Amount; any further cash savings on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fees costs relative to the Wind-Down Budget above the Professional Fee Surplus shall be distributed through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Liquidation Trust in accordance with the “Allocation of Liquidation Trust Interests and Recovery Waterfall” section of this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Sheet. For the avoidance of doubt, any amounts in the Trustee/Agent Holdback not applied towards the payment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Prepetition Trustee and DIP Agents’ reasonable fees and expenses shall not constitute a Professional Fee Surplus and shall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instead be transferred directly to the applicable NewCo and reduce the NewCo Funding Claims on a dollar for dollar basis as</w:t>
            </w: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set forth herein.</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Allocation of</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Chapter 11 Plan and the Liquidation Trust Agreement shall provide that the distributable proceeds of the Liquidation Trust</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Liquidation Trust</w:t>
            </w:r>
          </w:p>
        </w:tc>
        <w:tc>
          <w:tcPr>
            <w:tcW w:w="9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shall be distributed to the holders of the Liquidation Trust Interests as follows:</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Interests and</w:t>
            </w:r>
          </w:p>
        </w:tc>
        <w:tc>
          <w:tcPr>
            <w:tcW w:w="9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Recovery Waterfall</w:t>
            </w:r>
          </w:p>
        </w:tc>
        <w:tc>
          <w:tcPr>
            <w:tcW w:w="9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left="2280" w:hanging="234"/>
        <w:spacing w:after="0" w:line="282" w:lineRule="auto"/>
        <w:tabs>
          <w:tab w:leader="none" w:pos="2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Until the repayment of the NewCo Funding Claims, the distributable proceeds of the Liquidation Trust shall be distributed as follows:</w:t>
      </w:r>
    </w:p>
    <w:p>
      <w:pPr>
        <w:spacing w:after="0" w:line="161" w:lineRule="exact"/>
        <w:rPr>
          <w:rFonts w:ascii="Times New Roman" w:cs="Times New Roman" w:eastAsia="Times New Roman" w:hAnsi="Times New Roman"/>
          <w:sz w:val="18"/>
          <w:szCs w:val="18"/>
          <w:color w:val="auto"/>
        </w:rPr>
      </w:pPr>
    </w:p>
    <w:p>
      <w:pPr>
        <w:jc w:val="both"/>
        <w:ind w:left="2500" w:hanging="224"/>
        <w:spacing w:after="0" w:line="258" w:lineRule="auto"/>
        <w:tabs>
          <w:tab w:leader="none" w:pos="2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to the NewCos (pro rata on account of their allocable share of the NewCo Funding Claims) (such interests, the “NewCo Trust Interests”). For the avoidance of doubt, any amounts in the Trustee/Agent Holdback not applied towards the payment of the Prepetition Trustee and DIP Agents reasonable fees and expenses shall be credited against the NewCo Funding Claims on a dollar-for-dollar basis (after taking into account the applicable interest accrued thereon) and shall reduce the outstanding balance of the NewCo Funding Claims for purposes of this Tranche 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tabs>
          <w:tab w:leader="none" w:pos="510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0" w:lineRule="exact"/>
        <w:rPr>
          <w:sz w:val="20"/>
          <w:szCs w:val="20"/>
          <w:color w:val="auto"/>
        </w:rPr>
      </w:pPr>
    </w:p>
    <w:p>
      <w:pPr>
        <w:ind w:left="1640" w:right="700" w:hanging="234"/>
        <w:spacing w:after="0" w:line="282"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Following repayment of the NewCo Funding Claims as set forth in Tranche 1, the next $18.9 million of distributable proceeds from the Liquidation Trust shall be distributed as follows:</w:t>
      </w:r>
    </w:p>
    <w:p>
      <w:pPr>
        <w:spacing w:after="0" w:line="161" w:lineRule="exact"/>
        <w:rPr>
          <w:rFonts w:ascii="Times New Roman" w:cs="Times New Roman" w:eastAsia="Times New Roman" w:hAnsi="Times New Roman"/>
          <w:sz w:val="18"/>
          <w:szCs w:val="18"/>
          <w:color w:val="auto"/>
        </w:rPr>
      </w:pPr>
    </w:p>
    <w:p>
      <w:pPr>
        <w:ind w:left="2060" w:hanging="208"/>
        <w:spacing w:after="0"/>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pro rata on account of the NewCo Trust Interests;</w:t>
      </w:r>
    </w:p>
    <w:p>
      <w:pPr>
        <w:spacing w:after="0" w:line="225" w:lineRule="exact"/>
        <w:rPr>
          <w:rFonts w:ascii="Times New Roman" w:cs="Times New Roman" w:eastAsia="Times New Roman" w:hAnsi="Times New Roman"/>
          <w:sz w:val="18"/>
          <w:szCs w:val="18"/>
          <w:color w:val="auto"/>
        </w:rPr>
      </w:pPr>
    </w:p>
    <w:p>
      <w:pPr>
        <w:jc w:val="both"/>
        <w:ind w:left="2060" w:hanging="208"/>
        <w:spacing w:after="0" w:line="266" w:lineRule="auto"/>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to holders of general unsecured claims (including Resid Deficiency Claims (as defined below) but excluding Noteholder Deficiency/Guarantee Claims) on a pro rata basis on account of their general unsecured claims against the Debtors (such interests, the “</w:t>
      </w:r>
      <w:r>
        <w:rPr>
          <w:rFonts w:ascii="Times New Roman" w:cs="Times New Roman" w:eastAsia="Times New Roman" w:hAnsi="Times New Roman"/>
          <w:sz w:val="18"/>
          <w:szCs w:val="18"/>
          <w:u w:val="single" w:color="auto"/>
          <w:color w:val="auto"/>
        </w:rPr>
        <w:t>GUC Trust Interests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2060" w:hanging="208"/>
        <w:spacing w:after="0" w:line="266" w:lineRule="auto"/>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pro rata to Resid Noteholders on account of claims asserted by the Resid Noteholders against the Debtors in respect of prepetition and postpetition management fees allegedly due and owing under Management Agreements with Fat Brands Inc. (the “</w:t>
      </w:r>
      <w:r>
        <w:rPr>
          <w:rFonts w:ascii="Times New Roman" w:cs="Times New Roman" w:eastAsia="Times New Roman" w:hAnsi="Times New Roman"/>
          <w:sz w:val="18"/>
          <w:szCs w:val="18"/>
          <w:u w:val="single" w:color="auto"/>
          <w:color w:val="auto"/>
        </w:rPr>
        <w:t>Resid Priority Trust Interests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640" w:right="100" w:hanging="234"/>
        <w:spacing w:after="0" w:line="282" w:lineRule="auto"/>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Following the distributions and repayments set forth in Tranches 1-2, the remaining distributable proceeds from the Liquidation Trust shall be distributed as follows:</w:t>
      </w:r>
    </w:p>
    <w:p>
      <w:pPr>
        <w:spacing w:after="0" w:line="161" w:lineRule="exact"/>
        <w:rPr>
          <w:rFonts w:ascii="Times New Roman" w:cs="Times New Roman" w:eastAsia="Times New Roman" w:hAnsi="Times New Roman"/>
          <w:sz w:val="18"/>
          <w:szCs w:val="18"/>
          <w:color w:val="auto"/>
        </w:rPr>
      </w:pPr>
    </w:p>
    <w:p>
      <w:pPr>
        <w:ind w:left="2060" w:hanging="208"/>
        <w:spacing w:after="0"/>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pro rata on account of the GUC Trust Interests;</w:t>
      </w:r>
    </w:p>
    <w:p>
      <w:pPr>
        <w:spacing w:after="0" w:line="225" w:lineRule="exact"/>
        <w:rPr>
          <w:rFonts w:ascii="Times New Roman" w:cs="Times New Roman" w:eastAsia="Times New Roman" w:hAnsi="Times New Roman"/>
          <w:sz w:val="18"/>
          <w:szCs w:val="18"/>
          <w:color w:val="auto"/>
        </w:rPr>
      </w:pPr>
    </w:p>
    <w:p>
      <w:pPr>
        <w:jc w:val="both"/>
        <w:ind w:left="2060" w:hanging="208"/>
        <w:spacing w:after="0" w:line="266" w:lineRule="auto"/>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pro rata on account of Resid Priority Trust Interests; provided that the Resid Priority Trust Interests shall be reduced to 0% and the GUC Trust Interests shall be increased to 65% once the Resid Noteholders have received $10 million of recoveries in the aggregate on account of the Resid Priority Trust Interests; and</w:t>
      </w:r>
    </w:p>
    <w:p>
      <w:pPr>
        <w:spacing w:after="0" w:line="175" w:lineRule="exact"/>
        <w:rPr>
          <w:rFonts w:ascii="Times New Roman" w:cs="Times New Roman" w:eastAsia="Times New Roman" w:hAnsi="Times New Roman"/>
          <w:sz w:val="18"/>
          <w:szCs w:val="18"/>
          <w:color w:val="auto"/>
        </w:rPr>
      </w:pPr>
    </w:p>
    <w:p>
      <w:pPr>
        <w:jc w:val="both"/>
        <w:ind w:left="2060" w:hanging="208"/>
        <w:spacing w:after="0" w:line="261" w:lineRule="auto"/>
        <w:tabs>
          <w:tab w:leader="none" w:pos="20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to the Prepetition Noteholders pro rata on account of the Noteholder Deficiency/Guarantee Claims (such interests, the “</w:t>
      </w:r>
      <w:r>
        <w:rPr>
          <w:rFonts w:ascii="Times New Roman" w:cs="Times New Roman" w:eastAsia="Times New Roman" w:hAnsi="Times New Roman"/>
          <w:sz w:val="18"/>
          <w:szCs w:val="18"/>
          <w:u w:val="single" w:color="auto"/>
          <w:color w:val="auto"/>
        </w:rPr>
        <w:t>Noteholder Trust Interests</w:t>
      </w:r>
      <w:r>
        <w:rPr>
          <w:rFonts w:ascii="Times New Roman" w:cs="Times New Roman" w:eastAsia="Times New Roman" w:hAnsi="Times New Roman"/>
          <w:sz w:val="18"/>
          <w:szCs w:val="18"/>
          <w:color w:val="auto"/>
        </w:rPr>
        <w:t>” and, together with the NewCo Trust Interests, and the GUC Trust Interests, the “</w:t>
      </w:r>
      <w:r>
        <w:rPr>
          <w:rFonts w:ascii="Times New Roman" w:cs="Times New Roman" w:eastAsia="Times New Roman" w:hAnsi="Times New Roman"/>
          <w:sz w:val="18"/>
          <w:szCs w:val="18"/>
          <w:u w:val="single" w:color="auto"/>
          <w:color w:val="auto"/>
        </w:rPr>
        <w:t>Liquidation Trust Interests</w:t>
      </w:r>
      <w:r>
        <w:rPr>
          <w:rFonts w:ascii="Times New Roman" w:cs="Times New Roman" w:eastAsia="Times New Roman" w:hAnsi="Times New Roman"/>
          <w:sz w:val="18"/>
          <w:szCs w:val="18"/>
          <w:color w:val="auto"/>
        </w:rPr>
        <w:t>,” and such holders of Liquidation Trust Interests, the “</w:t>
      </w:r>
      <w:r>
        <w:rPr>
          <w:rFonts w:ascii="Times New Roman" w:cs="Times New Roman" w:eastAsia="Times New Roman" w:hAnsi="Times New Roman"/>
          <w:sz w:val="18"/>
          <w:szCs w:val="18"/>
          <w:u w:val="single" w:color="auto"/>
          <w:color w:val="auto"/>
        </w:rPr>
        <w:t>Liquidation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400" w:right="20" w:hanging="223"/>
        <w:spacing w:after="0" w:line="266" w:lineRule="auto"/>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Trust Interests received by the Liquidation Trust Beneficiaries under the Chapter 11 Plan shall be in full and complete satisfaction, compromise, settlement and release of their respective general unsecured claims and deficiency claims, as applicable, against the Debtors.</w:t>
      </w:r>
    </w:p>
    <w:p>
      <w:pPr>
        <w:spacing w:after="0" w:line="175" w:lineRule="exact"/>
        <w:rPr>
          <w:rFonts w:ascii="Times New Roman" w:cs="Times New Roman" w:eastAsia="Times New Roman" w:hAnsi="Times New Roman"/>
          <w:sz w:val="18"/>
          <w:szCs w:val="18"/>
          <w:color w:val="auto"/>
        </w:rPr>
      </w:pPr>
    </w:p>
    <w:p>
      <w:pPr>
        <w:jc w:val="both"/>
        <w:ind w:left="1400" w:hanging="223"/>
        <w:spacing w:after="0" w:line="266" w:lineRule="auto"/>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allowed administrative or priority claims shall be satisfied from the Chapter 11 Plan Reserve (other than the Liquidation Trust Funding Amount), subject to the Wind-Down Budget, and residual amounts, if any, shall be revested in the Liquidation Trust for distribution in accordance with the Chapter 11 Plan and the Liquidation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-4685030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60" w:top="684" w:right="339" w:bottom="1440" w:gutter="0" w:footer="0" w:header="0"/>
        </w:sectPr>
      </w:pPr>
    </w:p>
    <w:bookmarkStart w:id="19" w:name="page20"/>
    <w:bookmarkEnd w:id="19"/>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0" w:lineRule="exact"/>
        <w:rPr>
          <w:sz w:val="20"/>
          <w:szCs w:val="20"/>
          <w:color w:val="auto"/>
        </w:rPr>
      </w:pPr>
    </w:p>
    <w:p>
      <w:pPr>
        <w:ind w:left="2040" w:hanging="223"/>
        <w:spacing w:after="0" w:line="282"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Trustee shall exercise reasonable discretion with respect to the amount and timing of distributions of proceeds of monetized Liquidation Trust Assets to Liquidation Trust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Trust</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The Liquidation Trust shall be governed by a liquidation trust agreement (the “Liquidation Trust Agreement”), which shall be</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consistent with the terms hereof and shall otherwise be in form and substance acceptable to the Parties.</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The trustee of the Liquidation Trust (the “Liquidation Trustee”) shall be an individual selected jointly by the Committee, the</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WBS Ad Hoc Group and the Resid Noteholders, and reasonably acceptable to the Debtors.</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95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  The Liquidation Trustee shall have exclusive authority to (a) reconcile administrative, priority, and general unsecured claims,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(b) prosecute and resolve all Retained Causes of Action assigned to the Liquidation Trust, (c) monetize all Liquidation Trust</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Assets, and (d) wind-down the Debtors’ estates.</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NewCo and the Debtors shall preserve all documents and communications reasonably related to the prosecution of claims by</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the Liquidation Trust and shall reasonably cooperate with the Liquidation Trust and Liquidation Trustee to wind down the</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Debtors’ estates pursuant to the Liquidation Trust Agreement and at no additional cost to the Liquidation Trust.</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95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  The Chapter 11 Plan and the Liquidation Trust Agreement shall provide for a recovery waterfall, after payment of the fees and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expenses incurred by the Liquidation Trust, the Liquidation Trustee, any professionals retained by the Liquidation Trust, and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any additional amount determined by the Liquidation Trustee to adequately reserve for the operating expenses of the</w:t>
            </w: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60" w:type="dxa"/>
            <w:vAlign w:val="bottom"/>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Liquidation Trust and fund the Disputed Claims Reserve (the “Liquidation Trust Fees and Expenses”), in accordance with the</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xml:space="preserve">allocations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Chapter 11 Plan Reserve and Disputed Claims Reserve are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insufficient to pay administrative and priority claims allowed at any time, the Liquidation Trustee shall pay such amounts out</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of the Liquidation Trust Assets prior to making distributions to Liquidation Trust Beneficiaries.</w:t>
            </w: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Released and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The Chapter 11 Plan shall include third-party releases (the “Third-Party Releases”) and debtor releases (the “Debtor Releases”</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Exculpated Claims</w:t>
            </w:r>
            <w:r>
              <w:rPr>
                <w:rFonts w:ascii="Times New Roman" w:cs="Times New Roman" w:eastAsia="Times New Roman" w:hAnsi="Times New Roman"/>
                <w:sz w:val="25"/>
                <w:szCs w:val="25"/>
                <w:b w:val="1"/>
                <w:bCs w:val="1"/>
                <w:color w:val="auto"/>
                <w:vertAlign w:val="superscript"/>
              </w:rPr>
              <w:t>10</w:t>
            </w: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and, together with the Third-Party Releases, the “</w:t>
            </w:r>
          </w:p>
        </w:tc>
        <w:tc>
          <w:tcPr>
            <w:tcW w:w="100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98"/>
              </w:rPr>
              <w:t>Plan Releases</w:t>
            </w:r>
          </w:p>
        </w:tc>
        <w:tc>
          <w:tcPr>
            <w:tcW w:w="452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auto"/>
              </w:rPr>
              <w:t>”), which shall include customary carve outs for fraud, gross</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negligence and willful misconduct and be subject to the Schedule of Non-Released or Released Parties/Claims.</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2260" w:hanging="214"/>
        <w:spacing w:after="0" w:line="253" w:lineRule="auto"/>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Chapter 11 Plan shall include a schedule of parties who will be released or not released pursuant to the Plan Releases (the “</w:t>
      </w:r>
      <w:r>
        <w:rPr>
          <w:rFonts w:ascii="Times New Roman" w:cs="Times New Roman" w:eastAsia="Times New Roman" w:hAnsi="Times New Roman"/>
          <w:sz w:val="18"/>
          <w:szCs w:val="18"/>
          <w:u w:val="single" w:color="auto"/>
          <w:color w:val="auto"/>
        </w:rPr>
        <w:t>Schedule of Non-Released or Released Parties/Claims</w:t>
      </w:r>
      <w:r>
        <w:rPr>
          <w:rFonts w:ascii="Times New Roman" w:cs="Times New Roman" w:eastAsia="Times New Roman" w:hAnsi="Times New Roman"/>
          <w:sz w:val="18"/>
          <w:szCs w:val="18"/>
          <w:color w:val="auto"/>
        </w:rPr>
        <w:t>”), which shall be reasonably acceptable to the Committee and the WBS Ad Hoc Group in all respects; provided that the Debtors’ current and former officers and directors serving during the Chapter 11 Cases (other than Andrew Wiederhorn and his direct or extended family members) shall receive Plan Releases for claims arising on or after the Petition Date and prior to or on the Plan Effective Date; provided further that, for the avoidance of doubt, (a) the Debtors’ legal counsel and other professional advisors, (b) the CROs, (c) the Special Committee, (d) the Committee (including each of its members) and the Committee’s professionals, (e) the Resid Noteholders and the Resid Noteholders’ professionals; provided that the Resid Noteholders vote in favor of the Chapter 11 Plan, (f) members of the WBS Ad Hoc Group and their legal counsel and other professional advisors; provided that the members of the WBS Ad Hoc Group vote in favor of the Chapter 11 Plan, and (g) the Prepetition Trustees, DIP Agent and their legal counsel and other professional advisors shall be Released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9" w:lineRule="exact"/>
        <w:rPr>
          <w:sz w:val="20"/>
          <w:szCs w:val="20"/>
          <w:color w:val="auto"/>
        </w:rPr>
      </w:pPr>
    </w:p>
    <w:p>
      <w:pPr>
        <w:ind w:left="5540" w:right="3400" w:hanging="5532"/>
        <w:spacing w:after="0" w:line="372" w:lineRule="auto"/>
        <w:tabs>
          <w:tab w:leader="none" w:pos="335"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release and exculpation provisions remain subject to the Special Committee’s ongoing investigation.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0" w:lineRule="exact"/>
        <w:rPr>
          <w:sz w:val="20"/>
          <w:szCs w:val="20"/>
          <w:color w:val="auto"/>
        </w:rPr>
      </w:pPr>
    </w:p>
    <w:p>
      <w:pPr>
        <w:jc w:val="both"/>
        <w:ind w:left="2040" w:hanging="223"/>
        <w:spacing w:after="0" w:line="266" w:lineRule="auto"/>
        <w:tabs>
          <w:tab w:leader="none" w:pos="2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ongoing diligence of the Parties, the Debtor Release will include any preference actions against ordinary-course trade creditors whose agreements have not been assumed and assigned to a purchaser, provided that those trade creditors vote in favor of the Chapter 11 Plan.</w:t>
      </w:r>
    </w:p>
    <w:p>
      <w:pPr>
        <w:spacing w:after="0" w:line="175" w:lineRule="exact"/>
        <w:rPr>
          <w:rFonts w:ascii="Times New Roman" w:cs="Times New Roman" w:eastAsia="Times New Roman" w:hAnsi="Times New Roman"/>
          <w:sz w:val="18"/>
          <w:szCs w:val="18"/>
          <w:color w:val="auto"/>
        </w:rPr>
      </w:pPr>
    </w:p>
    <w:p>
      <w:pPr>
        <w:jc w:val="both"/>
        <w:ind w:left="2040" w:hanging="223"/>
        <w:spacing w:after="0" w:line="258" w:lineRule="auto"/>
        <w:tabs>
          <w:tab w:leader="none" w:pos="2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Chapter 11 Plan shall include a customary exculpation provision for claims, causes of action or for any act taken or omitted to be taken on or after the Petition Date and prior to or on the Plan Effective Date relating to the Chapter 11 Cases, which shall include (i) the Debtors, (ii) the Committee and its members (in their capacity as such), and (iii) each independent director of the Debtors (including the members of the Special Committees), which shall include customary carve outs for fraud, gross negligence and willful misconduct.</w:t>
      </w:r>
    </w:p>
    <w:p>
      <w:pPr>
        <w:spacing w:after="0" w:line="183" w:lineRule="exact"/>
        <w:rPr>
          <w:rFonts w:ascii="Times New Roman" w:cs="Times New Roman" w:eastAsia="Times New Roman" w:hAnsi="Times New Roman"/>
          <w:sz w:val="18"/>
          <w:szCs w:val="18"/>
          <w:color w:val="auto"/>
        </w:rPr>
      </w:pPr>
    </w:p>
    <w:p>
      <w:pPr>
        <w:ind w:left="2040" w:hanging="223"/>
        <w:spacing w:after="0"/>
        <w:tabs>
          <w:tab w:leader="none" w:pos="2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Chapter 11 Plan shall include customary injunction and gatekeeping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 Deficiency</w:t>
            </w:r>
          </w:p>
        </w:tc>
        <w:tc>
          <w:tcPr>
            <w:tcW w:w="9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No less than $166,897,889.80 for prepetition principal and interest on account of the Resid Notes, plus any fees, expenses,</w:t>
            </w: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Claims</w:t>
            </w: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indemnities, and other amounts owed under the Resid Base Indenture and related documents, less (i) any amounts in the Resid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Trust Accounts and (ii) any amounts received by the Resid Noteholders on account of the Resid Priority Trust Interests, shall</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16"/>
                <w:szCs w:val="16"/>
                <w:color w:val="auto"/>
              </w:rPr>
            </w:pPr>
          </w:p>
        </w:tc>
        <w:tc>
          <w:tcPr>
            <w:tcW w:w="9700" w:type="dxa"/>
            <w:vAlign w:val="bottom"/>
            <w:gridSpan w:val="3"/>
          </w:tcPr>
          <w:p>
            <w:pPr>
              <w:ind w:left="500"/>
              <w:spacing w:after="0" w:line="194" w:lineRule="exact"/>
              <w:rPr>
                <w:sz w:val="20"/>
                <w:szCs w:val="20"/>
                <w:color w:val="auto"/>
              </w:rPr>
            </w:pPr>
            <w:r>
              <w:rPr>
                <w:rFonts w:ascii="Times New Roman" w:cs="Times New Roman" w:eastAsia="Times New Roman" w:hAnsi="Times New Roman"/>
                <w:sz w:val="18"/>
                <w:szCs w:val="18"/>
                <w:color w:val="auto"/>
              </w:rPr>
              <w:t>be allowed as general unsecured claims against the Resid Issuer and FAT Brands Inc. (the “Resid Deficiency Claims”).</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Claims</w:t>
            </w:r>
          </w:p>
        </w:tc>
        <w:tc>
          <w:tcPr>
            <w:tcW w:w="7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vMerge w:val="continue"/>
          </w:tcPr>
          <w:p>
            <w:pPr>
              <w:spacing w:after="0"/>
              <w:rPr>
                <w:sz w:val="24"/>
                <w:szCs w:val="24"/>
                <w:color w:val="auto"/>
              </w:rPr>
            </w:pPr>
          </w:p>
        </w:tc>
        <w:tc>
          <w:tcPr>
            <w:tcW w:w="9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On the Plan Effective Date, in full and final satisfaction, compromise, settlement, and release of its claim (unless the applicable</w:t>
            </w:r>
          </w:p>
        </w:tc>
        <w:tc>
          <w:tcPr>
            <w:tcW w:w="0" w:type="dxa"/>
            <w:vAlign w:val="bottom"/>
          </w:tcPr>
          <w:p>
            <w:pPr>
              <w:spacing w:after="0"/>
              <w:rPr>
                <w:sz w:val="1"/>
                <w:szCs w:val="1"/>
                <w:color w:val="auto"/>
              </w:rPr>
            </w:pPr>
          </w:p>
        </w:tc>
      </w:tr>
      <w:tr>
        <w:trPr>
          <w:trHeight w:val="220"/>
        </w:trPr>
        <w:tc>
          <w:tcPr>
            <w:tcW w:w="1540" w:type="dxa"/>
            <w:vAlign w:val="bottom"/>
          </w:tcPr>
          <w:p>
            <w:pPr>
              <w:spacing w:after="0"/>
              <w:rPr>
                <w:sz w:val="19"/>
                <w:szCs w:val="19"/>
                <w:color w:val="auto"/>
              </w:rPr>
            </w:pP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Holder agrees to less favorable treatment), each holder of an allowed claim on account of the GFG Percent Promissory Notes,</w:t>
            </w: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1"/>
                <w:szCs w:val="21"/>
                <w:color w:val="auto"/>
              </w:rPr>
            </w:pPr>
          </w:p>
        </w:tc>
        <w:tc>
          <w:tcPr>
            <w:tcW w:w="9700" w:type="dxa"/>
            <w:vAlign w:val="bottom"/>
            <w:gridSpan w:val="3"/>
          </w:tcPr>
          <w:p>
            <w:pPr>
              <w:ind w:left="500"/>
              <w:spacing w:after="0" w:line="252" w:lineRule="exact"/>
              <w:rPr>
                <w:sz w:val="20"/>
                <w:szCs w:val="20"/>
                <w:color w:val="auto"/>
              </w:rPr>
            </w:pPr>
            <w:r>
              <w:rPr>
                <w:rFonts w:ascii="Times New Roman" w:cs="Times New Roman" w:eastAsia="Times New Roman" w:hAnsi="Times New Roman"/>
                <w:sz w:val="18"/>
                <w:szCs w:val="18"/>
                <w:color w:val="auto"/>
              </w:rPr>
              <w:t>Royalty Percent Promissory Note, Riverside Refi Loan, and Waterfall Loan (each as defined in the First Day Declaration)</w:t>
            </w:r>
            <w:r>
              <w:rPr>
                <w:rFonts w:ascii="Times New Roman" w:cs="Times New Roman" w:eastAsia="Times New Roman" w:hAnsi="Times New Roman"/>
                <w:sz w:val="29"/>
                <w:szCs w:val="29"/>
                <w:color w:val="auto"/>
                <w:vertAlign w:val="superscript"/>
              </w:rPr>
              <w:t>11</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shall receive its pro rata share of (i) the proceeds generated from the monetization of the collateral securing its claim (to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extent such holder has a valid, enforceable and perfected lien in such collateral), and (ii) GUC Trust Interests on account of any</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allowed deficiency claim.</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60" w:hanging="214"/>
        <w:spacing w:after="0" w:line="266" w:lineRule="auto"/>
        <w:tabs>
          <w:tab w:leader="none" w:pos="2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 Liquidation Trustee reserve all rights with respect to the validity, priority, extent, enforceability, perfection or avoidability of all claims and liens on account of the GFG Percent Promissory Notes, Royalty Percent Promissory Note, Riverside Refi Loan, and Waterfall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1" w:lineRule="exact"/>
        <w:rPr>
          <w:sz w:val="20"/>
          <w:szCs w:val="20"/>
          <w:color w:val="auto"/>
        </w:rPr>
      </w:pPr>
    </w:p>
    <w:p>
      <w:pPr>
        <w:ind w:left="340" w:right="20" w:hanging="332"/>
        <w:spacing w:after="0" w:line="196"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First Day Declaration</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Declaration of John C. DiDonato in Support of Debtors’ Chapter 11 Petitions and First Day Relief</w:t>
      </w:r>
      <w:r>
        <w:rPr>
          <w:rFonts w:ascii="Times New Roman" w:cs="Times New Roman" w:eastAsia="Times New Roman" w:hAnsi="Times New Roman"/>
          <w:sz w:val="18"/>
          <w:szCs w:val="18"/>
          <w:color w:val="auto"/>
        </w:rPr>
        <w:t xml:space="preserve"> [Docket No. 15].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left="6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b w:val="1"/>
          <w:bCs w:val="1"/>
          <w:color w:val="auto"/>
        </w:rPr>
        <w:t>General Description</w:t>
      </w:r>
    </w:p>
    <w:p>
      <w:pPr>
        <w:spacing w:after="0" w:line="40" w:lineRule="exact"/>
        <w:rPr>
          <w:sz w:val="20"/>
          <w:szCs w:val="20"/>
          <w:color w:val="auto"/>
        </w:rPr>
      </w:pPr>
    </w:p>
    <w:p>
      <w:pPr>
        <w:ind w:left="2040" w:hanging="223"/>
        <w:spacing w:after="0" w:line="282"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Credit Bids, the Parties to this Term Sheet shall make all necessary filings to dismiss with prejudice (i) the Resid Adversary Proceeding and (ii) the Resid State Court Action.</w:t>
      </w:r>
    </w:p>
    <w:p>
      <w:pPr>
        <w:spacing w:after="0" w:line="161" w:lineRule="exact"/>
        <w:rPr>
          <w:rFonts w:ascii="Times New Roman" w:cs="Times New Roman" w:eastAsia="Times New Roman" w:hAnsi="Times New Roman"/>
          <w:sz w:val="18"/>
          <w:szCs w:val="18"/>
          <w:color w:val="auto"/>
        </w:rPr>
      </w:pPr>
    </w:p>
    <w:p>
      <w:pPr>
        <w:jc w:val="both"/>
        <w:ind w:left="2040" w:hanging="223"/>
        <w:spacing w:after="0" w:line="226"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Plan Effective Date, the Resid Noteholders shall receive all amounts remaining in the “Accounts” as defined in the Resid Base Indenture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Resid Trust Accounts</w:t>
      </w:r>
      <w:r>
        <w:rPr>
          <w:rFonts w:ascii="Times New Roman" w:cs="Times New Roman" w:eastAsia="Times New Roman" w:hAnsi="Times New Roman"/>
          <w:sz w:val="18"/>
          <w:szCs w:val="18"/>
          <w:color w:val="auto"/>
        </w:rPr>
        <w:t>”) after payment of the accrued and unpaid fees and expenses of the Resid Trustee (and other amounts entitled to priority distribution therefrom, excluding any intercompany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Fiduciary Out</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 any time prior to entry of the Confirmation Order, the Debtors (including any governing body thereof, including the Special</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shall be entitled to take any action, or refrain from taking any action, including a decision to pursue an alternative</w:t>
            </w:r>
          </w:p>
        </w:tc>
      </w:tr>
      <w:tr>
        <w:trPr>
          <w:trHeight w:val="214"/>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or transaction, that the Debtors (including any governing body thereof, including the Special Committee)</w:t>
            </w:r>
          </w:p>
        </w:tc>
      </w:tr>
      <w:tr>
        <w:trPr>
          <w:trHeight w:val="218"/>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determine is required by its fiduciary obligations;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the Debtors exercise their fiduciary out following entry of the</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9019 Order and consummation of the Credit Bids, the “Allocation of Trust Interests and Recovery Waterfall” section of this</w:t>
            </w:r>
          </w:p>
        </w:tc>
      </w:tr>
      <w:tr>
        <w:trPr>
          <w:trHeight w:val="234"/>
        </w:trPr>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shall continue to be binding and govern the distribution of proceeds of the Debtors’ assets.</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Confirmation</w:t>
            </w: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terms and conditions of this Term Sheet relating to the Chapter 11 Plan are expressly subject to section 1123, 1125, 1126,</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Requirements</w:t>
            </w:r>
          </w:p>
        </w:tc>
        <w:tc>
          <w:tcPr>
            <w:tcW w:w="52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1128, and 1129 of the Bankruptcy Code and confirmation of the Chapter 11 Plan by the Bankruptcy Court. In the event of any</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 between this Term Sheet and the Chapter 11 Plan or the Confirmation Order, the Chapter 11 Plan or the Confirmation</w:t>
            </w:r>
          </w:p>
        </w:tc>
      </w:tr>
      <w:tr>
        <w:trPr>
          <w:trHeight w:val="234"/>
        </w:trPr>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Order shall control.</w:t>
            </w:r>
          </w:p>
        </w:tc>
      </w:tr>
      <w:tr>
        <w:trPr>
          <w:trHeight w:val="412"/>
        </w:trPr>
        <w:tc>
          <w:tcPr>
            <w:tcW w:w="146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Chapter 11 Plan and Confirmation Order shall incorporate the terms and conditions of this Term Sheet and shall otherwise</w:t>
            </w:r>
          </w:p>
        </w:tc>
      </w:tr>
      <w:tr>
        <w:trPr>
          <w:trHeight w:val="218"/>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be reasonably acceptable to the WBS Ad Hoc Group, the Resid Noteholders, and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Resid</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Noteholders consent rights shall be limited to terms in the Chapter 11 Plan and Confirmation Order that affect the Settlement or</w:t>
            </w:r>
          </w:p>
        </w:tc>
      </w:tr>
      <w:tr>
        <w:trPr>
          <w:trHeight w:val="234"/>
        </w:trPr>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Resid Noteholders.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10"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Resid Base Indenture</w:t>
      </w:r>
      <w:r>
        <w:rPr>
          <w:rFonts w:ascii="Times New Roman" w:cs="Times New Roman" w:eastAsia="Times New Roman" w:hAnsi="Times New Roman"/>
          <w:sz w:val="18"/>
          <w:szCs w:val="18"/>
          <w:color w:val="auto"/>
        </w:rPr>
        <w:t>” means that certain Base Indenture, dated as of July 10, 2023 (as amended, restated, amended and restated, modified, or supplemented prior to the Petition Date), by and among FB Resid Holdings I, LLC, as issuer, and UMB Bank, N.A., as trustee and securities intermediary.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(Wind-Down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FAT Brands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478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All Sales Forecasted to Close in w.e. 05/24 —&gt;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Borders>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Forecast</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Sale to</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WE--&gt;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WE 05/10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WE 05/17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 05/24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Forecast</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Receipts</w:t>
            </w: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Franchise Fees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 Sales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Factory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Fees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&amp; Other Fees/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Elevation Burger sale proceeds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Broiler Chicken Class Action Settlement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cash in WBS account (net of Estimated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Securitization Trust Expenses)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Receipts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Disbursements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Restaurant expenses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Factory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SG&amp;A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Disbursements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4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Operating/Non Recurring Cash Flow</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Loan Payment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Processor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Contractors (Former employees)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Document storage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Migration - Quickbooks &amp; Hard drives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Accounting Firm (taxes / closing financial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Taxes - 2024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Committee Fees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Operating/Non Recurring Cash Flow</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4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Bankruptcy-Related Disbursements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Bankruptcy-Related Professional Fees</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Securitization Trustee Fee (incl. legal)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Critical Vendors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Non-Critical 503(b)(9) / Liens / PACA / PASA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Programs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Employees’ PTO Obligations (Wage Motion)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Bankruptcy-Related Disbursements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4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Flow, Pre-Debt Service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Wiederhorn - AHG Settlement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Funding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Service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(1.9)</w:t>
            </w: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O/S Checks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Opening Cash</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Cash</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4 .7</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Buyers agree to assume liabilities associated with their respective businesses, regardless of whether such liabilities arise from an expressly assumed contract. For shared vendor relationships spanning multiple businesses included across separate APAs, liabilities will be allocated in accordance with historical management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framework will be applied consistently across all four APAs.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Buyers will assume responsibility for estate-incurred fees payable to Huron that are directly attributable to Transition Services Agreement (TSA)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FAT BRANDS INC.,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34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w w:val="96"/>
              </w:rPr>
              <w:t>Exhibit 99.2</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 Bankruptcy Court</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Southern District of Texas</w:t>
            </w:r>
          </w:p>
        </w:tc>
        <w:tc>
          <w:tcPr>
            <w:tcW w:w="0" w:type="dxa"/>
            <w:vAlign w:val="bottom"/>
          </w:tcPr>
          <w:p>
            <w:pPr>
              <w:spacing w:after="0"/>
              <w:rPr>
                <w:sz w:val="1"/>
                <w:szCs w:val="1"/>
                <w:color w:val="auto"/>
              </w:rPr>
            </w:pPr>
          </w:p>
        </w:tc>
      </w:tr>
      <w:tr>
        <w:trPr>
          <w:trHeight w:val="220"/>
        </w:trPr>
        <w:tc>
          <w:tcPr>
            <w:tcW w:w="45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 THE UNITED STATES BANKRUPTCY COURT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ENTERED</w:t>
            </w:r>
          </w:p>
        </w:tc>
        <w:tc>
          <w:tcPr>
            <w:tcW w:w="0" w:type="dxa"/>
            <w:vAlign w:val="bottom"/>
          </w:tcPr>
          <w:p>
            <w:pPr>
              <w:spacing w:after="0"/>
              <w:rPr>
                <w:sz w:val="1"/>
                <w:szCs w:val="1"/>
                <w:color w:val="auto"/>
              </w:rPr>
            </w:pPr>
          </w:p>
        </w:tc>
      </w:tr>
      <w:tr>
        <w:trPr>
          <w:trHeight w:val="212"/>
        </w:trPr>
        <w:tc>
          <w:tcPr>
            <w:tcW w:w="4580" w:type="dxa"/>
            <w:vAlign w:val="bottom"/>
            <w:vMerge w:val="continue"/>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16"/>
        </w:trPr>
        <w:tc>
          <w:tcPr>
            <w:tcW w:w="4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Nathan Ochsner, Clerk</w:t>
            </w:r>
          </w:p>
        </w:tc>
        <w:tc>
          <w:tcPr>
            <w:tcW w:w="0" w:type="dxa"/>
            <w:vAlign w:val="bottom"/>
          </w:tcPr>
          <w:p>
            <w:pPr>
              <w:spacing w:after="0"/>
              <w:rPr>
                <w:sz w:val="1"/>
                <w:szCs w:val="1"/>
                <w:color w:val="auto"/>
              </w:rPr>
            </w:pPr>
          </w:p>
        </w:tc>
      </w:tr>
      <w:tr>
        <w:trPr>
          <w:trHeight w:val="238"/>
        </w:trPr>
        <w:tc>
          <w:tcPr>
            <w:tcW w:w="4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HOUSTON DIVISION</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124460</wp:posOffset>
            </wp:positionV>
            <wp:extent cx="345440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7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540" w:hanging="254"/>
        <w:spacing w:after="0"/>
        <w:tabs>
          <w:tab w:leader="none" w:pos="2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11</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3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2540" w:hanging="254"/>
        <w:spacing w:after="0"/>
        <w:tabs>
          <w:tab w:leader="none" w:pos="2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No. 26-90126 (ARP)</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3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2540" w:hanging="254"/>
        <w:spacing w:after="0"/>
        <w:tabs>
          <w:tab w:leader="none" w:pos="2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(Jointly Administered)</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-6350</wp:posOffset>
            </wp:positionV>
            <wp:extent cx="345440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7920"/>
          </w:cols>
          <w:pgMar w:left="320" w:top="333" w:right="339" w:bottom="1440" w:gutter="0" w:footer="0" w:header="0"/>
        </w:sectPr>
      </w:pPr>
    </w:p>
    <w:p>
      <w:pPr>
        <w:spacing w:after="0" w:line="16"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8"/>
          <w:szCs w:val="18"/>
          <w:b w:val="1"/>
          <w:bCs w:val="1"/>
          <w:color w:val="auto"/>
        </w:rPr>
        <w:t>FINAL ORDER (I) AUTHORIZING THE DEBTORS TO USE CASH COLLATERAL AND OBTAIN SECURED POSTPETITION FINANCING; (II) GRANTING LIENS AND SUPERPRIORITY ADMINISTRATIVE CLAIMS; (III) PROVIDING ADEQUATE PROTECTION; AND (IV) GRANTING RELATED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[Relates to Docket No. 454, 473, 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8" w:lineRule="exact"/>
        <w:rPr>
          <w:sz w:val="20"/>
          <w:szCs w:val="20"/>
          <w:color w:val="auto"/>
        </w:rPr>
      </w:pPr>
    </w:p>
    <w:p>
      <w:pPr>
        <w:jc w:val="both"/>
        <w:ind w:left="340" w:hanging="332"/>
        <w:spacing w:after="0" w:line="210"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proposed claims and noticing agent at https://omniagentsolutions.com/FATBrands-TwinHospitality. The Debtors’ mailing address for purposes of the Chapter 11 Cases is 9720 Wilshire Blvd., Suite 500, Beverly Hills, CA 90212.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6" w:name="page27"/>
    <w:bookmarkEnd w:id="26"/>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Upon the emergency motion, dated March 18, 2026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above-captioned debtors and debtors-in-possession (collectively,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for entry of an order pursuant to Sections 105, 361, 362, 363, and 364 of title 11 of the United States Code (as amended, the “</w:t>
      </w:r>
      <w:r>
        <w:rPr>
          <w:rFonts w:ascii="Times New Roman" w:cs="Times New Roman" w:eastAsia="Times New Roman" w:hAnsi="Times New Roman"/>
          <w:sz w:val="18"/>
          <w:szCs w:val="18"/>
          <w:b w:val="1"/>
          <w:bCs w:val="1"/>
          <w:i w:val="1"/>
          <w:iCs w:val="1"/>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Rules 2002, 4001, 6004, and 9014 of the Federal Rules of Bankruptcy Procedure (as amended, the “</w:t>
      </w:r>
      <w:r>
        <w:rPr>
          <w:rFonts w:ascii="Times New Roman" w:cs="Times New Roman" w:eastAsia="Times New Roman" w:hAnsi="Times New Roman"/>
          <w:sz w:val="18"/>
          <w:szCs w:val="18"/>
          <w:b w:val="1"/>
          <w:bCs w:val="1"/>
          <w:i w:val="1"/>
          <w:iCs w:val="1"/>
          <w:color w:val="auto"/>
        </w:rPr>
        <w:t>Bankruptcy Rules</w:t>
      </w:r>
      <w:r>
        <w:rPr>
          <w:rFonts w:ascii="Times New Roman" w:cs="Times New Roman" w:eastAsia="Times New Roman" w:hAnsi="Times New Roman"/>
          <w:sz w:val="18"/>
          <w:szCs w:val="18"/>
          <w:color w:val="auto"/>
        </w:rPr>
        <w:t>”), and Rules 2002-1, 4001-1(b), 4002-1, and 9013-1 of the Bankruptcy Local Rules for the United States Bankruptcy Court for the Southern District of Texas (as amended, the “</w:t>
      </w:r>
      <w:r>
        <w:rPr>
          <w:rFonts w:ascii="Times New Roman" w:cs="Times New Roman" w:eastAsia="Times New Roman" w:hAnsi="Times New Roman"/>
          <w:sz w:val="18"/>
          <w:szCs w:val="18"/>
          <w:b w:val="1"/>
          <w:bCs w:val="1"/>
          <w:i w:val="1"/>
          <w:iCs w:val="1"/>
          <w:color w:val="auto"/>
        </w:rPr>
        <w:t>Bankruptcy Local Rules</w:t>
      </w:r>
      <w:r>
        <w:rPr>
          <w:rFonts w:ascii="Times New Roman" w:cs="Times New Roman" w:eastAsia="Times New Roman" w:hAnsi="Times New Roman"/>
          <w:sz w:val="18"/>
          <w:szCs w:val="18"/>
          <w:color w:val="auto"/>
        </w:rPr>
        <w:t>”), and the Procedures for Complex Cases in the Southern District of Texas, (A) authorizing (I) the Debtors to use cash collateral,</w:t>
      </w:r>
    </w:p>
    <w:p>
      <w:pPr>
        <w:spacing w:after="0" w:line="3" w:lineRule="exact"/>
        <w:rPr>
          <w:sz w:val="20"/>
          <w:szCs w:val="20"/>
          <w:color w:val="auto"/>
        </w:rPr>
      </w:pPr>
    </w:p>
    <w:p>
      <w:pPr>
        <w:jc w:val="both"/>
        <w:ind w:firstLine="8"/>
        <w:spacing w:after="0" w:line="250" w:lineRule="auto"/>
        <w:tabs>
          <w:tab w:leader="none" w:pos="3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to obtain secured superpriority postpetition financing and granting liens and superpriority administrative expense claims, and (III) the Debtors to provide adequate protection to the Prepetition Secured Parties (defined below) under Sections 361, 362 and/or 363 of the Bankruptcy Code, and</w:t>
      </w: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interim and final hearings, the Debtors sought, among other things, the following relief:</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authorization, pursuant to Sections 363 and 364 of the Bankruptcy Code, for FAT Brands Royalty I, LLC, FAT Brands Fazoli’s Native I, LLC, and FAT Brands GFG Royalty I, LLC (each, a “</w:t>
      </w:r>
      <w:r>
        <w:rPr>
          <w:rFonts w:ascii="Times New Roman" w:cs="Times New Roman" w:eastAsia="Times New Roman" w:hAnsi="Times New Roman"/>
          <w:sz w:val="18"/>
          <w:szCs w:val="18"/>
          <w:b w:val="1"/>
          <w:bCs w:val="1"/>
          <w:i w:val="1"/>
          <w:iCs w:val="1"/>
          <w:color w:val="auto"/>
        </w:rPr>
        <w:t>FBG DIP 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FBG DIP Borrowers</w:t>
      </w:r>
      <w:r>
        <w:rPr>
          <w:rFonts w:ascii="Times New Roman" w:cs="Times New Roman" w:eastAsia="Times New Roman" w:hAnsi="Times New Roman"/>
          <w:sz w:val="18"/>
          <w:szCs w:val="18"/>
          <w:color w:val="auto"/>
        </w:rPr>
        <w:t>”) to (A) enter into a secured superpriority debtor-in-possession financing facility (the “</w:t>
      </w:r>
      <w:r>
        <w:rPr>
          <w:rFonts w:ascii="Times New Roman" w:cs="Times New Roman" w:eastAsia="Times New Roman" w:hAnsi="Times New Roman"/>
          <w:sz w:val="18"/>
          <w:szCs w:val="18"/>
          <w:b w:val="1"/>
          <w:bCs w:val="1"/>
          <w:i w:val="1"/>
          <w:iCs w:val="1"/>
          <w:color w:val="auto"/>
        </w:rPr>
        <w:t>FBG DIP Facility</w:t>
      </w:r>
      <w:r>
        <w:rPr>
          <w:rFonts w:ascii="Times New Roman" w:cs="Times New Roman" w:eastAsia="Times New Roman" w:hAnsi="Times New Roman"/>
          <w:sz w:val="18"/>
          <w:szCs w:val="18"/>
          <w:color w:val="auto"/>
        </w:rPr>
        <w:t>”) and (B) for FAT Brands Inc. (the “</w:t>
      </w:r>
      <w:r>
        <w:rPr>
          <w:rFonts w:ascii="Times New Roman" w:cs="Times New Roman" w:eastAsia="Times New Roman" w:hAnsi="Times New Roman"/>
          <w:sz w:val="18"/>
          <w:szCs w:val="18"/>
          <w:b w:val="1"/>
          <w:bCs w:val="1"/>
          <w:i w:val="1"/>
          <w:iCs w:val="1"/>
          <w:color w:val="auto"/>
        </w:rPr>
        <w:t>FBG Manager</w:t>
      </w:r>
      <w:r>
        <w:rPr>
          <w:rFonts w:ascii="Times New Roman" w:cs="Times New Roman" w:eastAsia="Times New Roman" w:hAnsi="Times New Roman"/>
          <w:sz w:val="18"/>
          <w:szCs w:val="18"/>
          <w:color w:val="auto"/>
        </w:rPr>
        <w:t>”) and each existing and future, direct or indirect, domestic, wholly-owned subsidiary of any of the FBG DIP Borrowers that are Debtors in these Chapter 11 Cases (collectively, the “</w:t>
      </w:r>
      <w:r>
        <w:rPr>
          <w:rFonts w:ascii="Times New Roman" w:cs="Times New Roman" w:eastAsia="Times New Roman" w:hAnsi="Times New Roman"/>
          <w:sz w:val="18"/>
          <w:szCs w:val="18"/>
          <w:b w:val="1"/>
          <w:bCs w:val="1"/>
          <w:i w:val="1"/>
          <w:iCs w:val="1"/>
          <w:color w:val="auto"/>
        </w:rPr>
        <w:t>FBG DIP Guarantors</w:t>
      </w:r>
      <w:r>
        <w:rPr>
          <w:rFonts w:ascii="Times New Roman" w:cs="Times New Roman" w:eastAsia="Times New Roman" w:hAnsi="Times New Roman"/>
          <w:sz w:val="18"/>
          <w:szCs w:val="18"/>
          <w:color w:val="auto"/>
        </w:rPr>
        <w:t>” and, together with the FBG DIP Borrowers, the “</w:t>
      </w:r>
      <w:r>
        <w:rPr>
          <w:rFonts w:ascii="Times New Roman" w:cs="Times New Roman" w:eastAsia="Times New Roman" w:hAnsi="Times New Roman"/>
          <w:sz w:val="18"/>
          <w:szCs w:val="18"/>
          <w:b w:val="1"/>
          <w:bCs w:val="1"/>
          <w:i w:val="1"/>
          <w:iCs w:val="1"/>
          <w:color w:val="auto"/>
        </w:rPr>
        <w:t>FBG DIP Loan Parties</w:t>
      </w:r>
      <w:r>
        <w:rPr>
          <w:rFonts w:ascii="Times New Roman" w:cs="Times New Roman" w:eastAsia="Times New Roman" w:hAnsi="Times New Roman"/>
          <w:sz w:val="18"/>
          <w:szCs w:val="18"/>
          <w:color w:val="auto"/>
        </w:rPr>
        <w:t>”) to enter into guarantees (the “</w:t>
      </w:r>
      <w:r>
        <w:rPr>
          <w:rFonts w:ascii="Times New Roman" w:cs="Times New Roman" w:eastAsia="Times New Roman" w:hAnsi="Times New Roman"/>
          <w:sz w:val="18"/>
          <w:szCs w:val="18"/>
          <w:b w:val="1"/>
          <w:bCs w:val="1"/>
          <w:i w:val="1"/>
          <w:iCs w:val="1"/>
          <w:color w:val="auto"/>
        </w:rPr>
        <w:t>FBG DIP Guarantees</w:t>
      </w:r>
      <w:r>
        <w:rPr>
          <w:rFonts w:ascii="Times New Roman" w:cs="Times New Roman" w:eastAsia="Times New Roman" w:hAnsi="Times New Roman"/>
          <w:sz w:val="18"/>
          <w:szCs w:val="18"/>
          <w:color w:val="auto"/>
        </w:rPr>
        <w:t xml:space="preserve">”), pursuant to which the FBG DIP Guarantors shall unconditionally, on a joint and several basis, guarantee the FBG DIP Facility, consisting of a non-amortizing multiple draw secured term loan credit facility pursuant to the Debtor-in-Possession Credit Agreement in substantially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restated, supplemented or otherwise modified from time to time, including pursuant to the First Amendment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Debtor-in-Possession Credit Agreement, dated as of April 6, 2026, attached to the Second Interim Order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thereto (the “</w:t>
      </w: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DIP Credit Agreement</w:t>
      </w:r>
      <w:r>
        <w:rPr>
          <w:rFonts w:ascii="Times New Roman" w:cs="Times New Roman" w:eastAsia="Times New Roman" w:hAnsi="Times New Roman"/>
          <w:sz w:val="18"/>
          <w:szCs w:val="18"/>
          <w:color w:val="auto"/>
        </w:rPr>
        <w:t>” and, together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Interim Order (I) Authorizing the Debtors to Use Cash Collateral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Obtain Secured Postpetition 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473] (the “</w:t>
      </w:r>
      <w:r>
        <w:rPr>
          <w:rFonts w:ascii="Times New Roman" w:cs="Times New Roman" w:eastAsia="Times New Roman" w:hAnsi="Times New Roman"/>
          <w:sz w:val="18"/>
          <w:szCs w:val="18"/>
          <w:b w:val="1"/>
          <w:bCs w:val="1"/>
          <w:i w:val="1"/>
          <w:iCs w:val="1"/>
          <w:color w:val="auto"/>
        </w:rPr>
        <w:t>Interim Order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Second Interim Order (I) Authorizing the Debtors to Use Cash Collateral and Obtain Secured Postpetition 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564] (the “</w:t>
      </w:r>
      <w:r>
        <w:rPr>
          <w:rFonts w:ascii="Times New Roman" w:cs="Times New Roman" w:eastAsia="Times New Roman" w:hAnsi="Times New Roman"/>
          <w:sz w:val="18"/>
          <w:szCs w:val="18"/>
          <w:b w:val="1"/>
          <w:bCs w:val="1"/>
          <w:i w:val="1"/>
          <w:iCs w:val="1"/>
          <w:color w:val="auto"/>
        </w:rPr>
        <w:t>Second Interim Order</w:t>
      </w:r>
      <w:r>
        <w:rPr>
          <w:rFonts w:ascii="Times New Roman" w:cs="Times New Roman" w:eastAsia="Times New Roman" w:hAnsi="Times New Roman"/>
          <w:sz w:val="18"/>
          <w:szCs w:val="18"/>
          <w:color w:val="auto"/>
        </w:rPr>
        <w:t>”) and this order (the “</w:t>
      </w:r>
      <w:r>
        <w:rPr>
          <w:rFonts w:ascii="Times New Roman" w:cs="Times New Roman" w:eastAsia="Times New Roman" w:hAnsi="Times New Roman"/>
          <w:sz w:val="18"/>
          <w:szCs w:val="18"/>
          <w:b w:val="1"/>
          <w:bCs w:val="1"/>
          <w:i w:val="1"/>
          <w:iCs w:val="1"/>
          <w:color w:val="auto"/>
        </w:rPr>
        <w:t>Final Order</w:t>
      </w:r>
      <w:r>
        <w:rPr>
          <w:rFonts w:ascii="Times New Roman" w:cs="Times New Roman" w:eastAsia="Times New Roman" w:hAnsi="Times New Roman"/>
          <w:sz w:val="18"/>
          <w:szCs w:val="18"/>
          <w:color w:val="auto"/>
        </w:rPr>
        <w:t>”), as applicable, the Approved Budget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below), the FBG DIP Guarantees, and all other agreements, documents and instruments delivered or executed in connection therewith, in each case as amended, restated, supplemented or otherwise modified from time to time, collectively, the “</w:t>
      </w:r>
      <w:r>
        <w:rPr>
          <w:rFonts w:ascii="Times New Roman" w:cs="Times New Roman" w:eastAsia="Times New Roman" w:hAnsi="Times New Roman"/>
          <w:sz w:val="18"/>
          <w:szCs w:val="18"/>
          <w:b w:val="1"/>
          <w:bCs w:val="1"/>
          <w:i w:val="1"/>
          <w:iCs w:val="1"/>
          <w:color w:val="auto"/>
        </w:rPr>
        <w:t>FBG 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administered by UMB Bank, N.A., as administrative agent and collateral agent (in such capacities, the “</w:t>
      </w:r>
      <w:r>
        <w:rPr>
          <w:rFonts w:ascii="Times New Roman" w:cs="Times New Roman" w:eastAsia="Times New Roman" w:hAnsi="Times New Roman"/>
          <w:sz w:val="18"/>
          <w:szCs w:val="18"/>
          <w:b w:val="1"/>
          <w:bCs w:val="1"/>
          <w:i w:val="1"/>
          <w:iCs w:val="1"/>
          <w:color w:val="auto"/>
        </w:rPr>
        <w:t>FBG DIP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provided by the FBG Prepetition Noteholders (as defined below) (to the extent they hold Class A-2 notes or Class B notes (excluding Class B notes under the FZ Prepetition Indenture)) that participate (in such capacity, together with any successors and assigns permitted under the DIP Credit Agreement, the “</w:t>
      </w:r>
      <w:r>
        <w:rPr>
          <w:rFonts w:ascii="Times New Roman" w:cs="Times New Roman" w:eastAsia="Times New Roman" w:hAnsi="Times New Roman"/>
          <w:sz w:val="18"/>
          <w:szCs w:val="18"/>
          <w:b w:val="1"/>
          <w:bCs w:val="1"/>
          <w:i w:val="1"/>
          <w:iCs w:val="1"/>
          <w:color w:val="auto"/>
        </w:rPr>
        <w:t>FBG DIP Lenders</w:t>
      </w:r>
      <w:r>
        <w:rPr>
          <w:rFonts w:ascii="Times New Roman" w:cs="Times New Roman" w:eastAsia="Times New Roman" w:hAnsi="Times New Roman"/>
          <w:sz w:val="18"/>
          <w:szCs w:val="18"/>
          <w:color w:val="auto"/>
        </w:rPr>
        <w:t>” and, together with the FBG DIP Agent, the “</w:t>
      </w:r>
      <w:r>
        <w:rPr>
          <w:rFonts w:ascii="Times New Roman" w:cs="Times New Roman" w:eastAsia="Times New Roman" w:hAnsi="Times New Roman"/>
          <w:sz w:val="18"/>
          <w:szCs w:val="18"/>
          <w:b w:val="1"/>
          <w:bCs w:val="1"/>
          <w:i w:val="1"/>
          <w:iCs w:val="1"/>
          <w:color w:val="auto"/>
        </w:rPr>
        <w:t>FBG DIP Secured Parties</w:t>
      </w:r>
      <w:r>
        <w:rPr>
          <w:rFonts w:ascii="Times New Roman" w:cs="Times New Roman" w:eastAsia="Times New Roman" w:hAnsi="Times New Roman"/>
          <w:sz w:val="18"/>
          <w:szCs w:val="18"/>
          <w:color w:val="auto"/>
        </w:rPr>
        <w:t>”), which shall be available, subject to the terms and conditions set forth in this Final Order and the other FBG DIP Documents, in an aggregate principal amount of up to (i) $46,140,000 in new money (the “</w:t>
      </w:r>
      <w:r>
        <w:rPr>
          <w:rFonts w:ascii="Times New Roman" w:cs="Times New Roman" w:eastAsia="Times New Roman" w:hAnsi="Times New Roman"/>
          <w:sz w:val="18"/>
          <w:szCs w:val="18"/>
          <w:b w:val="1"/>
          <w:bCs w:val="1"/>
          <w:i w:val="1"/>
          <w:iCs w:val="1"/>
          <w:color w:val="auto"/>
        </w:rPr>
        <w:t>FBG New Money DIP Loans</w:t>
      </w:r>
      <w:r>
        <w:rPr>
          <w:rFonts w:ascii="Times New Roman" w:cs="Times New Roman" w:eastAsia="Times New Roman" w:hAnsi="Times New Roman"/>
          <w:sz w:val="18"/>
          <w:szCs w:val="18"/>
          <w:color w:val="auto"/>
        </w:rPr>
        <w:t>”) and (ii) $138,420,000 in applicable FBG Prepetition Secured Obligations (as defined below) (in the Class A-2 notes and not the B notes or any other tranche) held by the FBG DIP Lenders to be converted into FBG DIP Loans (the “</w:t>
      </w:r>
      <w:r>
        <w:rPr>
          <w:rFonts w:ascii="Times New Roman" w:cs="Times New Roman" w:eastAsia="Times New Roman" w:hAnsi="Times New Roman"/>
          <w:sz w:val="18"/>
          <w:szCs w:val="18"/>
          <w:b w:val="1"/>
          <w:bCs w:val="1"/>
          <w:i w:val="1"/>
          <w:iCs w:val="1"/>
          <w:color w:val="auto"/>
        </w:rPr>
        <w:t>FBG Rolled-Up DIP Loans</w:t>
      </w:r>
      <w:r>
        <w:rPr>
          <w:rFonts w:ascii="Times New Roman" w:cs="Times New Roman" w:eastAsia="Times New Roman" w:hAnsi="Times New Roman"/>
          <w:sz w:val="18"/>
          <w:szCs w:val="18"/>
          <w:color w:val="auto"/>
        </w:rPr>
        <w:t>”) representing a 3:1 roll-up of which $28,800,000 of FBG New Money DIP Loans was made available following entry of the Interim Order with the creation of $86,400,000 of FBG Rolled-Up DIP Loans, up to $1,200,000 was made available following entry of the Second Interim Order with the creation of up to $3,600,000 of FBG Rolled-Up DIP Loans, and up to $16,140,000 was made available following the occurrence of the Bid Deadline (as defined in the Bidding Procedures Order) if there is available cash of less than $5,000,000 in the aggregate across all DIP Loan Parties taking into account forecasted disbursements through the Maturity Date (as defined in the DIP Credit Agreement) (a “</w:t>
      </w:r>
      <w:r>
        <w:rPr>
          <w:rFonts w:ascii="Times New Roman" w:cs="Times New Roman" w:eastAsia="Times New Roman" w:hAnsi="Times New Roman"/>
          <w:sz w:val="18"/>
          <w:szCs w:val="18"/>
          <w:b w:val="1"/>
          <w:bCs w:val="1"/>
          <w:i w:val="1"/>
          <w:iCs w:val="1"/>
          <w:color w:val="auto"/>
        </w:rPr>
        <w:t>Liquidity Need</w:t>
      </w:r>
      <w:r>
        <w:rPr>
          <w:rFonts w:ascii="Times New Roman" w:cs="Times New Roman" w:eastAsia="Times New Roman" w:hAnsi="Times New Roman"/>
          <w:sz w:val="18"/>
          <w:szCs w:val="18"/>
          <w:color w:val="auto"/>
        </w:rPr>
        <w:t>”) with the creation of up to $48,420,000 of FBG Rolled-Up DIP Loans (collectively, the “</w:t>
      </w:r>
      <w:r>
        <w:rPr>
          <w:rFonts w:ascii="Times New Roman" w:cs="Times New Roman" w:eastAsia="Times New Roman" w:hAnsi="Times New Roman"/>
          <w:sz w:val="18"/>
          <w:szCs w:val="18"/>
          <w:b w:val="1"/>
          <w:bCs w:val="1"/>
          <w:i w:val="1"/>
          <w:iCs w:val="1"/>
          <w:color w:val="auto"/>
        </w:rPr>
        <w:t>FBG DIP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6" w:lineRule="exact"/>
        <w:rPr>
          <w:sz w:val="20"/>
          <w:szCs w:val="20"/>
          <w:color w:val="auto"/>
        </w:rPr>
      </w:pPr>
    </w:p>
    <w:p>
      <w:pPr>
        <w:ind w:left="340" w:right="20" w:hanging="332"/>
        <w:spacing w:after="0" w:line="195"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such terms in the Motion or the DIP Credit Agreement (as defined below), as applicable.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left="1300" w:hanging="644"/>
        <w:spacing w:after="0" w:line="24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authorization, pursuant to Sections 363 and 364 of the Bankruptcy Code, for Twin Hospitality I, LLC (the “</w:t>
      </w:r>
      <w:r>
        <w:rPr>
          <w:rFonts w:ascii="Times New Roman" w:cs="Times New Roman" w:eastAsia="Times New Roman" w:hAnsi="Times New Roman"/>
          <w:sz w:val="18"/>
          <w:szCs w:val="18"/>
          <w:b w:val="1"/>
          <w:bCs w:val="1"/>
          <w:i w:val="1"/>
          <w:iCs w:val="1"/>
          <w:color w:val="auto"/>
        </w:rPr>
        <w:t>Twin 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together with the FBG DIP Borrowers, the “</w:t>
      </w:r>
      <w:r>
        <w:rPr>
          <w:rFonts w:ascii="Times New Roman" w:cs="Times New Roman" w:eastAsia="Times New Roman" w:hAnsi="Times New Roman"/>
          <w:sz w:val="18"/>
          <w:szCs w:val="18"/>
          <w:b w:val="1"/>
          <w:bCs w:val="1"/>
          <w:i w:val="1"/>
          <w:iCs w:val="1"/>
          <w:color w:val="auto"/>
        </w:rPr>
        <w:t>DIP Borrowers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enter into a secured superpriority debtor-in-possession financing facility (the “</w:t>
      </w:r>
      <w:r>
        <w:rPr>
          <w:rFonts w:ascii="Times New Roman" w:cs="Times New Roman" w:eastAsia="Times New Roman" w:hAnsi="Times New Roman"/>
          <w:sz w:val="18"/>
          <w:szCs w:val="18"/>
          <w:b w:val="1"/>
          <w:bCs w:val="1"/>
          <w:i w:val="1"/>
          <w:iCs w:val="1"/>
          <w:color w:val="auto"/>
        </w:rPr>
        <w:t>Twin DIP Facility</w:t>
      </w:r>
      <w:r>
        <w:rPr>
          <w:rFonts w:ascii="Times New Roman" w:cs="Times New Roman" w:eastAsia="Times New Roman" w:hAnsi="Times New Roman"/>
          <w:sz w:val="18"/>
          <w:szCs w:val="18"/>
          <w:color w:val="auto"/>
        </w:rPr>
        <w:t>” and, together with the FBG DIP Facility, the “</w:t>
      </w:r>
      <w:r>
        <w:rPr>
          <w:rFonts w:ascii="Times New Roman" w:cs="Times New Roman" w:eastAsia="Times New Roman" w:hAnsi="Times New Roman"/>
          <w:sz w:val="18"/>
          <w:szCs w:val="18"/>
          <w:b w:val="1"/>
          <w:bCs w:val="1"/>
          <w:i w:val="1"/>
          <w:iCs w:val="1"/>
          <w:color w:val="auto"/>
        </w:rPr>
        <w:t>DIP Facility</w:t>
      </w:r>
      <w:r>
        <w:rPr>
          <w:rFonts w:ascii="Times New Roman" w:cs="Times New Roman" w:eastAsia="Times New Roman" w:hAnsi="Times New Roman"/>
          <w:sz w:val="18"/>
          <w:szCs w:val="18"/>
          <w:color w:val="auto"/>
        </w:rPr>
        <w:t>”), and (B) for Twin Hospitality Group Inc. (the “</w:t>
      </w:r>
      <w:r>
        <w:rPr>
          <w:rFonts w:ascii="Times New Roman" w:cs="Times New Roman" w:eastAsia="Times New Roman" w:hAnsi="Times New Roman"/>
          <w:sz w:val="18"/>
          <w:szCs w:val="18"/>
          <w:b w:val="1"/>
          <w:bCs w:val="1"/>
          <w:i w:val="1"/>
          <w:iCs w:val="1"/>
          <w:color w:val="auto"/>
        </w:rPr>
        <w:t>Twin Manager</w:t>
      </w:r>
      <w:r>
        <w:rPr>
          <w:rFonts w:ascii="Times New Roman" w:cs="Times New Roman" w:eastAsia="Times New Roman" w:hAnsi="Times New Roman"/>
          <w:sz w:val="18"/>
          <w:szCs w:val="18"/>
          <w:color w:val="auto"/>
        </w:rPr>
        <w:t>” and, together with the FBG Manager, the “</w:t>
      </w:r>
      <w:r>
        <w:rPr>
          <w:rFonts w:ascii="Times New Roman" w:cs="Times New Roman" w:eastAsia="Times New Roman" w:hAnsi="Times New Roman"/>
          <w:sz w:val="18"/>
          <w:szCs w:val="18"/>
          <w:b w:val="1"/>
          <w:bCs w:val="1"/>
          <w:i w:val="1"/>
          <w:iCs w:val="1"/>
          <w:color w:val="auto"/>
        </w:rPr>
        <w:t>Managers</w:t>
      </w:r>
      <w:r>
        <w:rPr>
          <w:rFonts w:ascii="Times New Roman" w:cs="Times New Roman" w:eastAsia="Times New Roman" w:hAnsi="Times New Roman"/>
          <w:sz w:val="18"/>
          <w:szCs w:val="18"/>
          <w:color w:val="auto"/>
        </w:rPr>
        <w:t>”), the FBG Manager, and each existing and future, direct or indirect, domestic, wholly-owned subsidiary of the Twin DIP Borrower that is a Debtor in these Chapter 11 Cases (collectively, the “</w:t>
      </w:r>
      <w:r>
        <w:rPr>
          <w:rFonts w:ascii="Times New Roman" w:cs="Times New Roman" w:eastAsia="Times New Roman" w:hAnsi="Times New Roman"/>
          <w:sz w:val="18"/>
          <w:szCs w:val="18"/>
          <w:b w:val="1"/>
          <w:bCs w:val="1"/>
          <w:i w:val="1"/>
          <w:iCs w:val="1"/>
          <w:color w:val="auto"/>
        </w:rPr>
        <w:t>Twin DIP Guarantors</w:t>
      </w:r>
      <w:r>
        <w:rPr>
          <w:rFonts w:ascii="Times New Roman" w:cs="Times New Roman" w:eastAsia="Times New Roman" w:hAnsi="Times New Roman"/>
          <w:sz w:val="18"/>
          <w:szCs w:val="18"/>
          <w:color w:val="auto"/>
        </w:rPr>
        <w:t>” and, together with the Twin DIP Borrower, the “</w:t>
      </w:r>
      <w:r>
        <w:rPr>
          <w:rFonts w:ascii="Times New Roman" w:cs="Times New Roman" w:eastAsia="Times New Roman" w:hAnsi="Times New Roman"/>
          <w:sz w:val="18"/>
          <w:szCs w:val="18"/>
          <w:b w:val="1"/>
          <w:bCs w:val="1"/>
          <w:i w:val="1"/>
          <w:iCs w:val="1"/>
          <w:color w:val="auto"/>
        </w:rPr>
        <w:t>Twin DIP Loan Parties</w:t>
      </w:r>
      <w:r>
        <w:rPr>
          <w:rFonts w:ascii="Times New Roman" w:cs="Times New Roman" w:eastAsia="Times New Roman" w:hAnsi="Times New Roman"/>
          <w:sz w:val="18"/>
          <w:szCs w:val="18"/>
          <w:color w:val="auto"/>
        </w:rPr>
        <w:t>” and, together with the FBG DIP Loan Parties, the “</w:t>
      </w:r>
      <w:r>
        <w:rPr>
          <w:rFonts w:ascii="Times New Roman" w:cs="Times New Roman" w:eastAsia="Times New Roman" w:hAnsi="Times New Roman"/>
          <w:sz w:val="18"/>
          <w:szCs w:val="18"/>
          <w:b w:val="1"/>
          <w:bCs w:val="1"/>
          <w:i w:val="1"/>
          <w:iCs w:val="1"/>
          <w:color w:val="auto"/>
        </w:rPr>
        <w:t>DIP Loan Parties</w:t>
      </w:r>
      <w:r>
        <w:rPr>
          <w:rFonts w:ascii="Times New Roman" w:cs="Times New Roman" w:eastAsia="Times New Roman" w:hAnsi="Times New Roman"/>
          <w:sz w:val="18"/>
          <w:szCs w:val="18"/>
          <w:color w:val="auto"/>
        </w:rPr>
        <w:t>”) to enter into guarantees (the “</w:t>
      </w:r>
      <w:r>
        <w:rPr>
          <w:rFonts w:ascii="Times New Roman" w:cs="Times New Roman" w:eastAsia="Times New Roman" w:hAnsi="Times New Roman"/>
          <w:sz w:val="18"/>
          <w:szCs w:val="18"/>
          <w:b w:val="1"/>
          <w:bCs w:val="1"/>
          <w:i w:val="1"/>
          <w:iCs w:val="1"/>
          <w:color w:val="auto"/>
        </w:rPr>
        <w:t>Twin DIP Guarantees</w:t>
      </w:r>
      <w:r>
        <w:rPr>
          <w:rFonts w:ascii="Times New Roman" w:cs="Times New Roman" w:eastAsia="Times New Roman" w:hAnsi="Times New Roman"/>
          <w:sz w:val="18"/>
          <w:szCs w:val="18"/>
          <w:color w:val="auto"/>
        </w:rPr>
        <w:t>”), pursuant to which the Twin DIP Guarantors shall unconditionally, on a joint and several basis, guarantee the Twin DIP Facility, consisting of a non-amortizing multiple draw secured term loan credit facility pursuant to the DIP Credit Agreement (together with the Interim Order, the Second Interim Order and this Final Order, as applicable, the Approved Budget, the Twin DIP Guarantees, and all other agreements, documents and instruments delivered or executed in connection therewith, in each case as amended, restated, supplemented or otherwise modified from time to time, collectively, the “</w:t>
      </w:r>
      <w:r>
        <w:rPr>
          <w:rFonts w:ascii="Times New Roman" w:cs="Times New Roman" w:eastAsia="Times New Roman" w:hAnsi="Times New Roman"/>
          <w:sz w:val="18"/>
          <w:szCs w:val="18"/>
          <w:b w:val="1"/>
          <w:bCs w:val="1"/>
          <w:i w:val="1"/>
          <w:iCs w:val="1"/>
          <w:color w:val="auto"/>
        </w:rPr>
        <w:t>Twin DIP Documents</w:t>
      </w:r>
      <w:r>
        <w:rPr>
          <w:rFonts w:ascii="Times New Roman" w:cs="Times New Roman" w:eastAsia="Times New Roman" w:hAnsi="Times New Roman"/>
          <w:sz w:val="18"/>
          <w:szCs w:val="18"/>
          <w:color w:val="auto"/>
        </w:rPr>
        <w:t>” and, together with the FBG DIP Documents, the “</w:t>
      </w:r>
      <w:r>
        <w:rPr>
          <w:rFonts w:ascii="Times New Roman" w:cs="Times New Roman" w:eastAsia="Times New Roman" w:hAnsi="Times New Roman"/>
          <w:sz w:val="18"/>
          <w:szCs w:val="18"/>
          <w:b w:val="1"/>
          <w:bCs w:val="1"/>
          <w:i w:val="1"/>
          <w:iCs w:val="1"/>
          <w:color w:val="auto"/>
        </w:rPr>
        <w:t>DIP Documents</w:t>
      </w:r>
      <w:r>
        <w:rPr>
          <w:rFonts w:ascii="Times New Roman" w:cs="Times New Roman" w:eastAsia="Times New Roman" w:hAnsi="Times New Roman"/>
          <w:sz w:val="18"/>
          <w:szCs w:val="18"/>
          <w:color w:val="auto"/>
        </w:rPr>
        <w:t>”) administered by UMB Bank, N.A. as administrative agent and collateral agent (in such capacities, the “</w:t>
      </w:r>
      <w:r>
        <w:rPr>
          <w:rFonts w:ascii="Times New Roman" w:cs="Times New Roman" w:eastAsia="Times New Roman" w:hAnsi="Times New Roman"/>
          <w:sz w:val="18"/>
          <w:szCs w:val="18"/>
          <w:b w:val="1"/>
          <w:bCs w:val="1"/>
          <w:i w:val="1"/>
          <w:iCs w:val="1"/>
          <w:color w:val="auto"/>
        </w:rPr>
        <w:t>Twin DIP Agent</w:t>
      </w:r>
      <w:r>
        <w:rPr>
          <w:rFonts w:ascii="Times New Roman" w:cs="Times New Roman" w:eastAsia="Times New Roman" w:hAnsi="Times New Roman"/>
          <w:sz w:val="18"/>
          <w:szCs w:val="18"/>
          <w:color w:val="auto"/>
        </w:rPr>
        <w:t>” and, together with the FBG DIP Agent, the “</w:t>
      </w:r>
      <w:r>
        <w:rPr>
          <w:rFonts w:ascii="Times New Roman" w:cs="Times New Roman" w:eastAsia="Times New Roman" w:hAnsi="Times New Roman"/>
          <w:sz w:val="18"/>
          <w:szCs w:val="18"/>
          <w:b w:val="1"/>
          <w:bCs w:val="1"/>
          <w:i w:val="1"/>
          <w:iCs w:val="1"/>
          <w:color w:val="auto"/>
        </w:rPr>
        <w:t>DIP Agent</w:t>
      </w:r>
      <w:r>
        <w:rPr>
          <w:rFonts w:ascii="Times New Roman" w:cs="Times New Roman" w:eastAsia="Times New Roman" w:hAnsi="Times New Roman"/>
          <w:sz w:val="18"/>
          <w:szCs w:val="18"/>
          <w:color w:val="auto"/>
        </w:rPr>
        <w:t>”), and provided by the Twin Prepetition Noteholders (as defined below) (to the extent they hold Class A-2-I notes, Class A-2-II notes, or Class B notes) that participate (in such capacity, together with any successors and assigns permitted under the DIP Credit Agreement, the “</w:t>
      </w:r>
      <w:r>
        <w:rPr>
          <w:rFonts w:ascii="Times New Roman" w:cs="Times New Roman" w:eastAsia="Times New Roman" w:hAnsi="Times New Roman"/>
          <w:sz w:val="18"/>
          <w:szCs w:val="18"/>
          <w:b w:val="1"/>
          <w:bCs w:val="1"/>
          <w:i w:val="1"/>
          <w:iCs w:val="1"/>
          <w:color w:val="auto"/>
        </w:rPr>
        <w:t>Twin DIP Lenders</w:t>
      </w:r>
      <w:r>
        <w:rPr>
          <w:rFonts w:ascii="Times New Roman" w:cs="Times New Roman" w:eastAsia="Times New Roman" w:hAnsi="Times New Roman"/>
          <w:sz w:val="18"/>
          <w:szCs w:val="18"/>
          <w:color w:val="auto"/>
        </w:rPr>
        <w:t>” and, together with the Twin DIP Agent, the “</w:t>
      </w:r>
      <w:r>
        <w:rPr>
          <w:rFonts w:ascii="Times New Roman" w:cs="Times New Roman" w:eastAsia="Times New Roman" w:hAnsi="Times New Roman"/>
          <w:sz w:val="18"/>
          <w:szCs w:val="18"/>
          <w:b w:val="1"/>
          <w:bCs w:val="1"/>
          <w:i w:val="1"/>
          <w:iCs w:val="1"/>
          <w:color w:val="auto"/>
        </w:rPr>
        <w:t>Twin DIP 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which shall be available, subject to the terms and conditions set forth in this Final Order and the other Twin DIP Documents,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aggregate principal amount of up to (i) $30,760,000 in new money (the “</w:t>
      </w:r>
      <w:r>
        <w:rPr>
          <w:rFonts w:ascii="Times New Roman" w:cs="Times New Roman" w:eastAsia="Times New Roman" w:hAnsi="Times New Roman"/>
          <w:sz w:val="18"/>
          <w:szCs w:val="18"/>
          <w:b w:val="1"/>
          <w:bCs w:val="1"/>
          <w:i w:val="1"/>
          <w:iCs w:val="1"/>
          <w:color w:val="auto"/>
        </w:rPr>
        <w:t>Twin New Money DIP Loans</w:t>
      </w:r>
      <w:r>
        <w:rPr>
          <w:rFonts w:ascii="Times New Roman" w:cs="Times New Roman" w:eastAsia="Times New Roman" w:hAnsi="Times New Roman"/>
          <w:sz w:val="18"/>
          <w:szCs w:val="18"/>
          <w:color w:val="auto"/>
        </w:rPr>
        <w:t>” and, together with the FBG New Money DIP Loans, the “</w:t>
      </w:r>
      <w:r>
        <w:rPr>
          <w:rFonts w:ascii="Times New Roman" w:cs="Times New Roman" w:eastAsia="Times New Roman" w:hAnsi="Times New Roman"/>
          <w:sz w:val="18"/>
          <w:szCs w:val="18"/>
          <w:b w:val="1"/>
          <w:bCs w:val="1"/>
          <w:i w:val="1"/>
          <w:iCs w:val="1"/>
          <w:color w:val="auto"/>
        </w:rPr>
        <w:t>New Money DIP Loans</w:t>
      </w:r>
      <w:r>
        <w:rPr>
          <w:rFonts w:ascii="Times New Roman" w:cs="Times New Roman" w:eastAsia="Times New Roman" w:hAnsi="Times New Roman"/>
          <w:sz w:val="18"/>
          <w:szCs w:val="18"/>
          <w:color w:val="auto"/>
        </w:rPr>
        <w:t>”) and (ii) (x) applicable Twin Prepetition Secured Obligations (as defined below) in Class A-2-I notes held by the applicable Twin DIP Lenders to be converted into Twin DIP Loans (the “</w:t>
      </w:r>
      <w:r>
        <w:rPr>
          <w:rFonts w:ascii="Times New Roman" w:cs="Times New Roman" w:eastAsia="Times New Roman" w:hAnsi="Times New Roman"/>
          <w:sz w:val="18"/>
          <w:szCs w:val="18"/>
          <w:b w:val="1"/>
          <w:bCs w:val="1"/>
          <w:i w:val="1"/>
          <w:iCs w:val="1"/>
          <w:color w:val="auto"/>
        </w:rPr>
        <w:t>Twin Senior Rolled-Up 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subject to the Twin Roll-Up Reservation (as defined below) and (y) applicable Twin Prepetition Secured Obligations (as defined</w:t>
      </w:r>
    </w:p>
    <w:p>
      <w:pPr>
        <w:spacing w:after="0" w:line="14"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below) in Class A-2-II notes held by the applicable Twin DIP Lenders to be converted into Twin DIP Loans (the “</w:t>
      </w:r>
      <w:r>
        <w:rPr>
          <w:rFonts w:ascii="Times New Roman" w:cs="Times New Roman" w:eastAsia="Times New Roman" w:hAnsi="Times New Roman"/>
          <w:sz w:val="18"/>
          <w:szCs w:val="18"/>
          <w:b w:val="1"/>
          <w:bCs w:val="1"/>
          <w:i w:val="1"/>
          <w:iCs w:val="1"/>
          <w:color w:val="auto"/>
        </w:rPr>
        <w:t>Twin Junior Rolled-Up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DIP Loans</w:t>
      </w:r>
      <w:r>
        <w:rPr>
          <w:rFonts w:ascii="Times New Roman" w:cs="Times New Roman" w:eastAsia="Times New Roman" w:hAnsi="Times New Roman"/>
          <w:sz w:val="18"/>
          <w:szCs w:val="18"/>
          <w:color w:val="auto"/>
        </w:rPr>
        <w:t>” and, together with Twin Senior Rolled-Up DIP Loans, the “</w:t>
      </w:r>
      <w:r>
        <w:rPr>
          <w:rFonts w:ascii="Times New Roman" w:cs="Times New Roman" w:eastAsia="Times New Roman" w:hAnsi="Times New Roman"/>
          <w:sz w:val="18"/>
          <w:szCs w:val="18"/>
          <w:b w:val="1"/>
          <w:bCs w:val="1"/>
          <w:i w:val="1"/>
          <w:iCs w:val="1"/>
          <w:color w:val="auto"/>
        </w:rPr>
        <w:t>Twin Rolled-Up DIP Loans</w:t>
      </w:r>
      <w:r>
        <w:rPr>
          <w:rFonts w:ascii="Times New Roman" w:cs="Times New Roman" w:eastAsia="Times New Roman" w:hAnsi="Times New Roman"/>
          <w:sz w:val="18"/>
          <w:szCs w:val="18"/>
          <w:color w:val="auto"/>
        </w:rPr>
        <w:t>”), in each case representing a 3:1 roll-up and together totaling $92,280,000 of Twin Rolled-Up DIP Loans,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$19,200,000 of Twin New Money DIP Loans was made available following entry of the Interim Order with the creation of $57,600,000 of Twin Rolled-Up DIP Loans in the aggregate, up to $800,000 was made available following entry of the Second Interim Order with the creation of up to $2,400,000 of Twin Rolled-Up DIP Loans in the aggregate, and up to $10,760,000 was made available following the occurrence of the Bid Deadline (as defined in the Bidding Procedures Order) if there is a Liquidity Need with the creation of up to $32,280,000 of Twin Rolled-Up DIP Loans in the aggregate (collectively, the “</w:t>
      </w:r>
      <w:r>
        <w:rPr>
          <w:rFonts w:ascii="Times New Roman" w:cs="Times New Roman" w:eastAsia="Times New Roman" w:hAnsi="Times New Roman"/>
          <w:sz w:val="18"/>
          <w:szCs w:val="18"/>
          <w:b w:val="1"/>
          <w:bCs w:val="1"/>
          <w:i w:val="1"/>
          <w:iCs w:val="1"/>
          <w:color w:val="auto"/>
        </w:rPr>
        <w:t>Twin DIP Loans</w:t>
      </w:r>
      <w:r>
        <w:rPr>
          <w:rFonts w:ascii="Times New Roman" w:cs="Times New Roman" w:eastAsia="Times New Roman" w:hAnsi="Times New Roman"/>
          <w:sz w:val="18"/>
          <w:szCs w:val="18"/>
          <w:color w:val="auto"/>
        </w:rPr>
        <w:t>” and, together with the FBG DIP Loans, the “</w:t>
      </w:r>
      <w:r>
        <w:rPr>
          <w:rFonts w:ascii="Times New Roman" w:cs="Times New Roman" w:eastAsia="Times New Roman" w:hAnsi="Times New Roman"/>
          <w:sz w:val="18"/>
          <w:szCs w:val="18"/>
          <w:b w:val="1"/>
          <w:bCs w:val="1"/>
          <w:i w:val="1"/>
          <w:iCs w:val="1"/>
          <w:color w:val="auto"/>
        </w:rPr>
        <w:t>DIP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DIP Borrowers, collectively with their respective direct and indirect subsidiaries, shall be referred to herein as the “</w:t>
      </w:r>
      <w:r>
        <w:rPr>
          <w:rFonts w:ascii="Times New Roman" w:cs="Times New Roman" w:eastAsia="Times New Roman" w:hAnsi="Times New Roman"/>
          <w:sz w:val="18"/>
          <w:szCs w:val="18"/>
          <w:b w:val="1"/>
          <w:bCs w:val="1"/>
          <w:i w:val="1"/>
          <w:iCs w:val="1"/>
          <w:color w:val="auto"/>
        </w:rPr>
        <w:t>Securitization Entities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avoidance of doubt, the Debtors other than the DIP Borrowers and the DIP Guarantors are not DIP Loan Parties, including FB Resid Holdings I, LLC and SEEDS OF COMPASSION FUND,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authorization for the DIP Loan Parties to execute the DIP Credit Agreement and the other DIP Documents to which they are a party and to perform such other and further acts as may be necessary or appropriate in connection therewith;</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authorization for the FBG DIP Borrowers to incur the FBG DIP Loans and for the Twin DIP Borrower to incur the Twin DIP Loans, and for the Debtors to use the DIP Loans in accordance with the proposed budget prepared by the Debtors and approved by the DIP Lenders attached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Second Interim Order (as updated from time to time pursuant to, and in accordance with, the terms of the DIP Documents, the “</w:t>
      </w:r>
      <w:r>
        <w:rPr>
          <w:rFonts w:ascii="Times New Roman" w:cs="Times New Roman" w:eastAsia="Times New Roman" w:hAnsi="Times New Roman"/>
          <w:sz w:val="18"/>
          <w:szCs w:val="18"/>
          <w:b w:val="1"/>
          <w:bCs w:val="1"/>
          <w:i w:val="1"/>
          <w:iCs w:val="1"/>
          <w:color w:val="auto"/>
        </w:rPr>
        <w:t>Approved Budget</w:t>
      </w:r>
      <w:r>
        <w:rPr>
          <w:rFonts w:ascii="Times New Roman" w:cs="Times New Roman" w:eastAsia="Times New Roman" w:hAnsi="Times New Roman"/>
          <w:sz w:val="18"/>
          <w:szCs w:val="18"/>
          <w:color w:val="auto"/>
        </w:rPr>
        <w:t xml:space="preserve">”) and in accordance with the stipulated allocation of expenses between the Managers, on the one hand, and the DIP Borrowers (and their Debtor subsidiaries), on the other hand,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Stipulated Allocation</w:t>
      </w:r>
      <w:r>
        <w:rPr>
          <w:rFonts w:ascii="Times New Roman" w:cs="Times New Roman" w:eastAsia="Times New Roman" w:hAnsi="Times New Roman"/>
          <w:sz w:val="18"/>
          <w:szCs w:val="18"/>
          <w:color w:val="auto"/>
        </w:rPr>
        <w:t>”), subject to Permitted Variances (as defined below) and as otherwise provided herein and the other DIP Documents;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authorization to grant in favor of the FBG DIP Agent, for the benefit of the FBG DIP Secured Parties, in respect of the FBG DIP Obligations (as defined below), the FBG DIP Superpriority Claim and the FBG DIP Liens in all FBG DIP Collateral (each as defined below), on the terms, conditions and priorities set forth in the FBG DIP Documents, this Final Order, and the relative order and priorities set forth on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attached hereto;</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authorization to grant in favor of the Twin DIP Agent, for the benefit of the Twin DIP Secured Parties, in respect of the Twin DIP Obligations (as defined below), the Twin DIP Superpriority Claim and the Twin DIP Liens in all Twin DIP Collateral (each as defined below), on the terms, conditions and priorities set forth in the Twin DIP Documents, this Final Order, and the relative order and priorities set forth on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attached hereto;</w:t>
      </w:r>
    </w:p>
    <w:p>
      <w:pPr>
        <w:spacing w:after="0" w:line="179"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authorization for the Debtors to use “cash collateral” as such term is defined in Section 363 of the Bankruptcy Code (the “</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subject to the limitations set forth herein;</w:t>
      </w:r>
      <w:r>
        <w:rPr>
          <w:rFonts w:ascii="Times New Roman" w:cs="Times New Roman" w:eastAsia="Times New Roman" w:hAnsi="Times New Roman"/>
          <w:sz w:val="29"/>
          <w:szCs w:val="29"/>
          <w:color w:val="auto"/>
          <w:vertAlign w:val="superscript"/>
        </w:rPr>
        <w:t>5</w:t>
      </w:r>
    </w:p>
    <w:p>
      <w:pPr>
        <w:spacing w:after="0" w:line="30"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authorization to grant, as of the Petition Date (as defined below), adequate protection for the benefit of the Prepetition Secured Parties and, subject to certain conditions precedent, certain other prepetition creditors, in each case, as set forth below, including, the Adequate Protection Claims (as defined below) and Adequate Protection Liens (as defined below), in each case to the extent of and as compensation for the Diminution in Value (as defined below), if any, of the Prepetition Secured Parties or other prepetition creditors set forth herein and the payment of fees and expenses to the Prepetition Secured Parties, in each case as set forth more fully below;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by the Court of the automatic stay imposed by Section 362 of the Bankruptcy Code and any other applicable stay (including Bankruptcy Rule 6004) solely to the extent necessary to implement and effectuate the terms and provisions of the DIP Facility, this Final Order and the other DIP Documents and to provide for the immediate effectiveness of this Final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jc w:val="both"/>
        <w:ind w:left="340" w:hanging="332"/>
        <w:spacing w:after="0" w:line="23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With respect to the use of Cash Collateral, the Interim Order replaced and superseded the (i) Interim Order (I) Authorizing Debtors to Use Cash Collateral; (II) Granting Adequate Protection for the Use of Cash Collateral; (III) Scheduling a Final Hearing; and (IV) Granting Related Relief [Docket No. 103]; (ii) Second Interim Order (I) Authorizing Debtors to Use Cash Collateral; (II) Granting Adequate Protection for the Use of Cash Collateral; (III) Scheduling a Final Hearing; and (IV) Granting Related Relief [Docket No. 285]; (iii) Third Interim Order (I) Authorizing Debtors to Use Cash Collateral; (II) Granting Adequate Protection for the Use of Cash Collateral; (III) Scheduling a Final Hearing; and (IV) Granting Related Relief [Docket No. 326]; (iv) Fourth Interim Order (I) Authorizing Debtors to Use Cash Collateral; (II) Granting Adequate Protection for the Use of Cash Collateral; (III) Scheduling a Final Hearing; and (IV) Granting Related Relief [Docket No. 387]; and (v) Fifth Interim Order (I) Authorizing Debtors to Use Cash Collateral; (II) Granting Adequate Protection for the Use of Cash Collateral; (III) Scheduling a Final Hearing; and (IV) Granting Related Relief [Docket No. 432] (collectively, the “Interim Cash Collateral Orders”) in their entirety.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Court having considered the Motion, the terms of the DIP Facility and the DIP Documents, the </w:t>
      </w:r>
      <w:r>
        <w:rPr>
          <w:rFonts w:ascii="Times New Roman" w:cs="Times New Roman" w:eastAsia="Times New Roman" w:hAnsi="Times New Roman"/>
          <w:sz w:val="18"/>
          <w:szCs w:val="18"/>
          <w:i w:val="1"/>
          <w:iCs w:val="1"/>
          <w:color w:val="auto"/>
        </w:rPr>
        <w:t>Declaration of John C. DiDonato in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Debtors’ Chapter 11 Petitions and First Day Relief </w:t>
      </w:r>
      <w:r>
        <w:rPr>
          <w:rFonts w:ascii="Times New Roman" w:cs="Times New Roman" w:eastAsia="Times New Roman" w:hAnsi="Times New Roman"/>
          <w:sz w:val="18"/>
          <w:szCs w:val="18"/>
          <w:color w:val="auto"/>
        </w:rPr>
        <w:t>[Docket No. 15] (the “</w:t>
      </w:r>
      <w:r>
        <w:rPr>
          <w:rFonts w:ascii="Times New Roman" w:cs="Times New Roman" w:eastAsia="Times New Roman" w:hAnsi="Times New Roman"/>
          <w:sz w:val="18"/>
          <w:szCs w:val="18"/>
          <w:b w:val="1"/>
          <w:bCs w:val="1"/>
          <w:i w:val="1"/>
          <w:iCs w:val="1"/>
          <w:color w:val="auto"/>
        </w:rPr>
        <w:t>First Day Declaration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Declaration of John C. DiDonato in Support of Debtors’ Motion to Obtain Debtor-in-Possession Financing</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Declaration of Jeff Raithel in Support of Debtors’ Motion to Obtain Debtor-in-Possession Financing, </w:t>
      </w:r>
      <w:r>
        <w:rPr>
          <w:rFonts w:ascii="Times New Roman" w:cs="Times New Roman" w:eastAsia="Times New Roman" w:hAnsi="Times New Roman"/>
          <w:sz w:val="18"/>
          <w:szCs w:val="18"/>
          <w:color w:val="auto"/>
        </w:rPr>
        <w:t>and the evidence submitted at the interim hearing held before the Court on March 19, 2026 to consider entry of the Interim Order (the “</w:t>
      </w:r>
      <w:r>
        <w:rPr>
          <w:rFonts w:ascii="Times New Roman" w:cs="Times New Roman" w:eastAsia="Times New Roman" w:hAnsi="Times New Roman"/>
          <w:sz w:val="18"/>
          <w:szCs w:val="18"/>
          <w:b w:val="1"/>
          <w:bCs w:val="1"/>
          <w:color w:val="auto"/>
        </w:rPr>
        <w:t>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Hearing</w:t>
      </w:r>
      <w:r>
        <w:rPr>
          <w:rFonts w:ascii="Times New Roman" w:cs="Times New Roman" w:eastAsia="Times New Roman" w:hAnsi="Times New Roman"/>
          <w:sz w:val="18"/>
          <w:szCs w:val="18"/>
          <w:color w:val="auto"/>
        </w:rPr>
        <w:t>”), the evidence submitted at the final hearing held before the Court on May 19, 2026 to consider entry of this Final Order (the “</w:t>
      </w:r>
      <w:r>
        <w:rPr>
          <w:rFonts w:ascii="Times New Roman" w:cs="Times New Roman" w:eastAsia="Times New Roman" w:hAnsi="Times New Roman"/>
          <w:sz w:val="18"/>
          <w:szCs w:val="18"/>
          <w:b w:val="1"/>
          <w:bCs w:val="1"/>
          <w:color w:val="auto"/>
        </w:rPr>
        <w:t>Final Hearing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accordance with Bankruptcy Rules 2002, 4001(b), (c), and (d), and the Bankruptcy Local Rules, appropriate due and proper notice of the Motion, the Interim Hearing, and the Final Hearing having been given; and it appearing that approval of the relief requested in the Motion is fair and reasonable and in the best interests of the Debtors, their creditors and their estates, and essential for the continued operation of the Debtors’ businesses; and all objections, if any, to the entry of this Final Order having been withdrawn, resolved or overruled by the Court; and after due deliberation and consideration, and for good and sufficient cause appearing therefor: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COURT HEREBY MAKES THE FOLLOWING FINDINGS OF FACT AND CONCLUSIONS OF LAW:</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Petition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January 26, 2026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the Debtors filed voluntary petitions under Chapter 11 of the Bankruptcy Code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Bankruptcy Court for the Southern District of Texas, Houston Division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The Debtors have continued in the management and operation of their businesses and properties as debtors-in-possession pursuant to Sections 1107(a) and 1108 of the Bankruptcy Code. No trustee or examiner has been appointed in the Chapter 11 Cases.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Court has jurisdiction over the Chapter 11 Cases, the Motion, and the parties and property affected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28 U.S.C. § 1334. This is a core proceeding under 28 U.S.C. § 157(b). Venue for the Chapter 11 Cases and proceedings on the Motion is proper in this district pursuant to 28 U.S.C. §§ 1408 and 1409. The statutory and other predicates for the relief sought herein are sections 105, 361, 362, 363, 364, 507, and 552 of the Bankruptcy Code, Bankruptcy Rules 2002, 4001, 6004, and 9014, and the Bankruptcy Local Rules.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Committee 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February 6, 2026, the Office of the United States Trustee for the Southern District of Texas appointed an official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unsecured creditors in the Chapter 11 Cases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[Docket No. 186].</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Final Hearing is being held pursuant to the authorization of Bankruptcy Rule 4001. Notice of the Final Hearing has been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Debtors, by telecopy, email, overnight courier and/or hand delivery, to (a) the Office of the United States Trustee for the Southern District of Texas (the “</w:t>
      </w:r>
      <w:r>
        <w:rPr>
          <w:rFonts w:ascii="Times New Roman" w:cs="Times New Roman" w:eastAsia="Times New Roman" w:hAnsi="Times New Roman"/>
          <w:sz w:val="18"/>
          <w:szCs w:val="18"/>
          <w:b w:val="1"/>
          <w:bCs w:val="1"/>
          <w:i w:val="1"/>
          <w:iCs w:val="1"/>
          <w:color w:val="auto"/>
        </w:rPr>
        <w:t>U.S. Trustee</w:t>
      </w:r>
      <w:r>
        <w:rPr>
          <w:rFonts w:ascii="Times New Roman" w:cs="Times New Roman" w:eastAsia="Times New Roman" w:hAnsi="Times New Roman"/>
          <w:sz w:val="18"/>
          <w:szCs w:val="18"/>
          <w:color w:val="auto"/>
        </w:rPr>
        <w:t>”); (b) White &amp; Case LLP, as counsel to the ad hoc group of Prepetition Noteholders (the “</w:t>
      </w:r>
      <w:r>
        <w:rPr>
          <w:rFonts w:ascii="Times New Roman" w:cs="Times New Roman" w:eastAsia="Times New Roman" w:hAnsi="Times New Roman"/>
          <w:sz w:val="18"/>
          <w:szCs w:val="18"/>
          <w:b w:val="1"/>
          <w:bCs w:val="1"/>
          <w:i w:val="1"/>
          <w:iCs w:val="1"/>
          <w:color w:val="auto"/>
        </w:rPr>
        <w:t>WBS Ad Hoc Group</w:t>
      </w:r>
      <w:r>
        <w:rPr>
          <w:rFonts w:ascii="Times New Roman" w:cs="Times New Roman" w:eastAsia="Times New Roman" w:hAnsi="Times New Roman"/>
          <w:sz w:val="18"/>
          <w:szCs w:val="18"/>
          <w:color w:val="auto"/>
        </w:rPr>
        <w:t>”) and the DIP Lenders;</w:t>
      </w:r>
    </w:p>
    <w:p>
      <w:pPr>
        <w:jc w:val="both"/>
        <w:ind w:firstLine="8"/>
        <w:spacing w:after="0" w:line="251" w:lineRule="auto"/>
        <w:tabs>
          <w:tab w:leader="none" w:pos="2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the United States Attorney General for the Southern District of Texas; (d) the Internal Revenue Service; (e) the Securities and Exchange Commission; (f) counsel to the Prepetition Trustees (as defined below); (g) counsel to the Resid Trustee (as defined in the First Day Declaration); (h) Orrick, Herrington &amp; Sutcliffe LLP, as counsel to the Ad Hoc Group of Twin Peaks Franchisees; (i) those entities or individuals included on the Debtors’ list of thirty (30) largest unsecured creditors on a consolidated basis; (j) the state attorneys general for states in which the Debtors conduct business; (k) counsel to the Resid Noteholders (as defined in the First Day Declaration);(l) counsel to the Committee; (m) counsel to Wilmington Savings Fund Society, as the pending successor trustee for the Resid Notes (as defined in the First Day Declaration); (n) any such other party entitled to notice pursuant to Bankruptcy Local Rule 9013-1(d); and (o) any party that has requested notice pursuant to Bankruptcy Rule 2002 (the “</w:t>
      </w:r>
      <w:r>
        <w:rPr>
          <w:rFonts w:ascii="Times New Roman" w:cs="Times New Roman" w:eastAsia="Times New Roman" w:hAnsi="Times New Roman"/>
          <w:sz w:val="18"/>
          <w:szCs w:val="18"/>
          <w:b w:val="1"/>
          <w:bCs w:val="1"/>
          <w:i w:val="1"/>
          <w:iCs w:val="1"/>
          <w:color w:val="auto"/>
        </w:rPr>
        <w:t>Notice Parties</w:t>
      </w:r>
      <w:r>
        <w:rPr>
          <w:rFonts w:ascii="Times New Roman" w:cs="Times New Roman" w:eastAsia="Times New Roman" w:hAnsi="Times New Roman"/>
          <w:sz w:val="18"/>
          <w:szCs w:val="18"/>
          <w:color w:val="auto"/>
        </w:rPr>
        <w:t>”). Under the circumstances, such notice of the Final Hearing and the relief requested in the Motion complies with Section 102(1) of the Bankruptcy Code, Bankruptcy Rules 2002 and 4001(b) and (c) and the Bankruptcy Local Rules, and no other or further notice need be provided for entry of this Final Order.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0" w:name="page31"/>
    <w:bookmarkEnd w:id="3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Debtors’ Stipulations as to Prepetition Secured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only to the rights of parties in interest that are set forth in Paragraph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Debtors, on their behalf and on behalf of their estates, admit, stipulate, acknowledge, and agree as follows:</w:t>
      </w:r>
    </w:p>
    <w:p>
      <w:pPr>
        <w:spacing w:after="0" w:line="155" w:lineRule="exact"/>
        <w:rPr>
          <w:sz w:val="20"/>
          <w:szCs w:val="20"/>
          <w:color w:val="auto"/>
        </w:rPr>
      </w:pPr>
    </w:p>
    <w:p>
      <w:pPr>
        <w:jc w:val="both"/>
        <w:ind w:firstLine="1304"/>
        <w:spacing w:after="0" w:line="253" w:lineRule="auto"/>
        <w:tabs>
          <w:tab w:leader="none" w:pos="15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FBG Prepetition Secured Obligations</w:t>
      </w:r>
      <w:r>
        <w:rPr>
          <w:rFonts w:ascii="Times New Roman" w:cs="Times New Roman" w:eastAsia="Times New Roman" w:hAnsi="Times New Roman"/>
          <w:sz w:val="18"/>
          <w:szCs w:val="18"/>
          <w:color w:val="auto"/>
        </w:rPr>
        <w:t>. Pursuant to that certain (i) Base Indenture, dated as of March 6, 2020,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as of April 26, 2021, and as supplemented by the Series 2021-1 Supplement and Series 2022-1 Supplement thereto, dated as of April 26, 2021 and July 6, 2022, respectively (as further amended, restated, supplemented or otherwise modified from time to time, the “</w:t>
      </w:r>
      <w:r>
        <w:rPr>
          <w:rFonts w:ascii="Times New Roman" w:cs="Times New Roman" w:eastAsia="Times New Roman" w:hAnsi="Times New Roman"/>
          <w:sz w:val="18"/>
          <w:szCs w:val="18"/>
          <w:b w:val="1"/>
          <w:bCs w:val="1"/>
          <w:i w:val="1"/>
          <w:iCs w:val="1"/>
          <w:color w:val="auto"/>
        </w:rPr>
        <w:t>Royalty Prepetition Indenture</w:t>
      </w:r>
      <w:r>
        <w:rPr>
          <w:rFonts w:ascii="Times New Roman" w:cs="Times New Roman" w:eastAsia="Times New Roman" w:hAnsi="Times New Roman"/>
          <w:sz w:val="18"/>
          <w:szCs w:val="18"/>
          <w:color w:val="auto"/>
        </w:rPr>
        <w:t>”), by and among FAT Brands Royalty I, LLC, as issuer, and UMB Bank, N.A. (“</w:t>
      </w:r>
      <w:r>
        <w:rPr>
          <w:rFonts w:ascii="Times New Roman" w:cs="Times New Roman" w:eastAsia="Times New Roman" w:hAnsi="Times New Roman"/>
          <w:sz w:val="18"/>
          <w:szCs w:val="18"/>
          <w:b w:val="1"/>
          <w:bCs w:val="1"/>
          <w:i w:val="1"/>
          <w:iCs w:val="1"/>
          <w:color w:val="auto"/>
        </w:rPr>
        <w:t>UMB</w:t>
      </w:r>
      <w:r>
        <w:rPr>
          <w:rFonts w:ascii="Times New Roman" w:cs="Times New Roman" w:eastAsia="Times New Roman" w:hAnsi="Times New Roman"/>
          <w:sz w:val="18"/>
          <w:szCs w:val="18"/>
          <w:color w:val="auto"/>
        </w:rPr>
        <w:t>”), as trustee (the “</w:t>
      </w:r>
      <w:r>
        <w:rPr>
          <w:rFonts w:ascii="Times New Roman" w:cs="Times New Roman" w:eastAsia="Times New Roman" w:hAnsi="Times New Roman"/>
          <w:sz w:val="18"/>
          <w:szCs w:val="18"/>
          <w:b w:val="1"/>
          <w:bCs w:val="1"/>
          <w:i w:val="1"/>
          <w:iCs w:val="1"/>
          <w:color w:val="auto"/>
        </w:rPr>
        <w:t>Royalty Prepetition Trustee</w:t>
      </w:r>
      <w:r>
        <w:rPr>
          <w:rFonts w:ascii="Times New Roman" w:cs="Times New Roman" w:eastAsia="Times New Roman" w:hAnsi="Times New Roman"/>
          <w:sz w:val="18"/>
          <w:szCs w:val="18"/>
          <w:color w:val="auto"/>
        </w:rPr>
        <w:t>”) and as securities intermediary, (ii) Base Indenture, dated as of December 15, 2021, as amended by Omnibus Amendment No. 1, dated as of March 28, 2025, and as supplemented by the Series 2021-1 Supplement thereto, dated as of December 15, 2021 (as further amended, restated, supplemented or otherwise modified from time to time, the “</w:t>
      </w:r>
      <w:r>
        <w:rPr>
          <w:rFonts w:ascii="Times New Roman" w:cs="Times New Roman" w:eastAsia="Times New Roman" w:hAnsi="Times New Roman"/>
          <w:sz w:val="18"/>
          <w:szCs w:val="18"/>
          <w:b w:val="1"/>
          <w:bCs w:val="1"/>
          <w:i w:val="1"/>
          <w:iCs w:val="1"/>
          <w:color w:val="auto"/>
        </w:rPr>
        <w:t>FZ Prepetition Indenture</w:t>
      </w:r>
      <w:r>
        <w:rPr>
          <w:rFonts w:ascii="Times New Roman" w:cs="Times New Roman" w:eastAsia="Times New Roman" w:hAnsi="Times New Roman"/>
          <w:sz w:val="18"/>
          <w:szCs w:val="18"/>
          <w:color w:val="auto"/>
        </w:rPr>
        <w:t>”), by and among FAT Brands Fazoli’s Native I, LLC, as issuer, UMB, as trustee (the “</w:t>
      </w:r>
      <w:r>
        <w:rPr>
          <w:rFonts w:ascii="Times New Roman" w:cs="Times New Roman" w:eastAsia="Times New Roman" w:hAnsi="Times New Roman"/>
          <w:sz w:val="18"/>
          <w:szCs w:val="18"/>
          <w:b w:val="1"/>
          <w:bCs w:val="1"/>
          <w:i w:val="1"/>
          <w:iCs w:val="1"/>
          <w:color w:val="auto"/>
        </w:rPr>
        <w:t>FZ Prepetition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securities intermediary, and (iii) Base Indenture, dated as of July 22, 2021, as supplemented by the Series 2021-1 Supplement and 2022-1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thereto, dated as of July 22, 2021 and December 15, 2022, respectively (as further amended, restated, supplemented or otherwise modified from time to time, the “</w:t>
      </w:r>
      <w:r>
        <w:rPr>
          <w:rFonts w:ascii="Times New Roman" w:cs="Times New Roman" w:eastAsia="Times New Roman" w:hAnsi="Times New Roman"/>
          <w:sz w:val="18"/>
          <w:szCs w:val="18"/>
          <w:b w:val="1"/>
          <w:bCs w:val="1"/>
          <w:i w:val="1"/>
          <w:iCs w:val="1"/>
          <w:color w:val="auto"/>
        </w:rPr>
        <w:t>GFG Prepetition Indenture</w:t>
      </w:r>
      <w:r>
        <w:rPr>
          <w:rFonts w:ascii="Times New Roman" w:cs="Times New Roman" w:eastAsia="Times New Roman" w:hAnsi="Times New Roman"/>
          <w:sz w:val="18"/>
          <w:szCs w:val="18"/>
          <w:color w:val="auto"/>
        </w:rPr>
        <w:t>,” and together with the Royalty Prepetition Indenture and the FZ Prepetition Indenture, the “</w:t>
      </w:r>
      <w:r>
        <w:rPr>
          <w:rFonts w:ascii="Times New Roman" w:cs="Times New Roman" w:eastAsia="Times New Roman" w:hAnsi="Times New Roman"/>
          <w:sz w:val="18"/>
          <w:szCs w:val="18"/>
          <w:b w:val="1"/>
          <w:bCs w:val="1"/>
          <w:i w:val="1"/>
          <w:iCs w:val="1"/>
          <w:color w:val="auto"/>
        </w:rPr>
        <w:t>FBG</w:t>
      </w: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Prepetition Indentures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and among FAT Brands GFG Royalty I, LLC, as issuer, and UMB,as trustee (the “</w:t>
      </w:r>
      <w:r>
        <w:rPr>
          <w:rFonts w:ascii="Times New Roman" w:cs="Times New Roman" w:eastAsia="Times New Roman" w:hAnsi="Times New Roman"/>
          <w:sz w:val="18"/>
          <w:szCs w:val="18"/>
          <w:b w:val="1"/>
          <w:bCs w:val="1"/>
          <w:i w:val="1"/>
          <w:iCs w:val="1"/>
          <w:color w:val="auto"/>
        </w:rPr>
        <w:t>GFG Prepetition Trustee</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Royalty Prepetition Trustee and the FZ Prepetition Trustee, the “</w:t>
      </w:r>
      <w:r>
        <w:rPr>
          <w:rFonts w:ascii="Times New Roman" w:cs="Times New Roman" w:eastAsia="Times New Roman" w:hAnsi="Times New Roman"/>
          <w:sz w:val="18"/>
          <w:szCs w:val="18"/>
          <w:b w:val="1"/>
          <w:bCs w:val="1"/>
          <w:i w:val="1"/>
          <w:iCs w:val="1"/>
          <w:color w:val="auto"/>
        </w:rPr>
        <w:t>FBG Prepetition Trustees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FBG Prepetition Trustee</w:t>
      </w:r>
      <w:r>
        <w:rPr>
          <w:rFonts w:ascii="Times New Roman" w:cs="Times New Roman" w:eastAsia="Times New Roman" w:hAnsi="Times New Roman"/>
          <w:sz w:val="18"/>
          <w:szCs w:val="18"/>
          <w:color w:val="auto"/>
        </w:rPr>
        <w:t>”) as securities intermediary: (A) on April 26, 2021, FAT Brands Royalty I, LLC issued (i) $97,104,000 in aggregate principal amount of Series 2021-1 Class A-2 senior secured notes with an interest rate of 4.75% and a maturity date of April 25, 2051, (ii) $32,368,000 in principal amount of Series 2021-1 Class B-2 senior subordinated notes with an interest rate of 8.00% and a maturity date of April 25, 2051, and (iii) $15,000,000 in principal amount of Series 2021-1 Class M-2 subordinated notes with an interest rate of 9.00% and a maturity date of April 25, 2051, and, on July 6, 2022, issued (i) $42,696,000 in aggregate principal amount of Series 2022-1 Class A-2 senior secured notes with an interest rate of 4.75% and a maturity date of April 25, 2051, (ii) $14,232,000 in principal amount of Class B-2 senior subordinated notes with an interest rate of 8.00% and a maturity date of April 25, 2051, and (ii) $19,617,000 in principal amount of Class M-2 subordinated notes with an interest rate of 9.00%; (B) on December 15, 2021, Fat Brands Fazoli’s Native I, LLC issued (i) $128,760,000 in aggregate principal amount of Class A-2 senior secured notes with an interest rate of 6.00% and a maturity date of July 25, 2051, (ii) $25,000,000 in principal amount of Class B-2 senior subordinated secured notes with an interest rate of 7.00% and a maturity date of July 25, 2051, and (iii) $40,000,000 in principal amount of Class M-2 subordinated notes with an interest rate of 9.00% and a maturity date of July 25, 2051; and</w:t>
      </w:r>
    </w:p>
    <w:p>
      <w:pPr>
        <w:jc w:val="both"/>
        <w:ind w:firstLine="8"/>
        <w:spacing w:after="0" w:line="251" w:lineRule="auto"/>
        <w:tabs>
          <w:tab w:leader="none" w:pos="2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2021, Fat Brands GFG Royalty I, LLC issued (i) $209,000,000 in aggregate principal amount of Series 2021-1 Class A-2 senior secured notes with an interest rate of 6.00% and a maturity date of July 25, 2051, (ii) $84,000,000 in principal amount of Series 2021- 1 Class B-2 senior subordinated notes with an interest rate of 7.00% and a maturity date of July 25, 2051, and (iii) $57,000,000 in principal amount of Series 2021-1 Class M-2 subordinated notes with an interest rate of 9.50% and a maturity date of July 25, 2051, and on December 15, 2022, issued (i) $67,756,000 in aggregate principal amount of Series 2022-1 Class A-2 senior secured notes with an interest rate of 6.00% and a maturity date of July 25, 2051, (ii) $20,261,000 in principal amount of Class B-2 senior subordinated notes with an interest rate of 7.00% and a maturity date of July 25, 2051, and (iii) $25,450,000 in principal amount of Class M-2 subordinated notes with an interest rate of 9.50% and a maturity date of July 25, 2051 (collectively, the “</w:t>
      </w:r>
      <w:r>
        <w:rPr>
          <w:rFonts w:ascii="Times New Roman" w:cs="Times New Roman" w:eastAsia="Times New Roman" w:hAnsi="Times New Roman"/>
          <w:sz w:val="18"/>
          <w:szCs w:val="18"/>
          <w:b w:val="1"/>
          <w:bCs w:val="1"/>
          <w:i w:val="1"/>
          <w:iCs w:val="1"/>
          <w:color w:val="auto"/>
        </w:rPr>
        <w:t>FBG Prepetition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holders thereof, the “</w:t>
      </w:r>
      <w:r>
        <w:rPr>
          <w:rFonts w:ascii="Times New Roman" w:cs="Times New Roman" w:eastAsia="Times New Roman" w:hAnsi="Times New Roman"/>
          <w:sz w:val="18"/>
          <w:szCs w:val="18"/>
          <w:b w:val="1"/>
          <w:bCs w:val="1"/>
          <w:i w:val="1"/>
          <w:iCs w:val="1"/>
          <w:color w:val="auto"/>
        </w:rPr>
        <w:t>FBG Prepetition Noteholders</w:t>
      </w:r>
      <w:r>
        <w:rPr>
          <w:rFonts w:ascii="Times New Roman" w:cs="Times New Roman" w:eastAsia="Times New Roman" w:hAnsi="Times New Roman"/>
          <w:sz w:val="18"/>
          <w:szCs w:val="18"/>
          <w:color w:val="auto"/>
        </w:rPr>
        <w:t>,” and together with the FBG Prepetition Trustees, the “</w:t>
      </w:r>
      <w:r>
        <w:rPr>
          <w:rFonts w:ascii="Times New Roman" w:cs="Times New Roman" w:eastAsia="Times New Roman" w:hAnsi="Times New Roman"/>
          <w:sz w:val="18"/>
          <w:szCs w:val="18"/>
          <w:b w:val="1"/>
          <w:bCs w:val="1"/>
          <w:i w:val="1"/>
          <w:iCs w:val="1"/>
          <w:color w:val="auto"/>
        </w:rPr>
        <w:t>FBG Prepetition Secured 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9" w:lineRule="exact"/>
        <w:rPr>
          <w:sz w:val="20"/>
          <w:szCs w:val="20"/>
          <w:color w:val="auto"/>
        </w:rPr>
      </w:pPr>
    </w:p>
    <w:p>
      <w:pPr>
        <w:jc w:val="both"/>
        <w:ind w:left="340" w:hanging="332"/>
        <w:spacing w:after="0" w:line="219"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FBG Prepetition Indentures collectively with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applicable Base Indenture) shall be referred to herein as the “</w:t>
      </w:r>
      <w:r>
        <w:rPr>
          <w:rFonts w:ascii="Times New Roman" w:cs="Times New Roman" w:eastAsia="Times New Roman" w:hAnsi="Times New Roman"/>
          <w:sz w:val="18"/>
          <w:szCs w:val="18"/>
          <w:b w:val="1"/>
          <w:bCs w:val="1"/>
          <w:color w:val="auto"/>
        </w:rPr>
        <w:t>FBG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Prepetition Documents.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ind w:right="20" w:firstLine="1304"/>
        <w:spacing w:after="0" w:line="268" w:lineRule="auto"/>
        <w:tabs>
          <w:tab w:leader="none" w:pos="15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FBG Prepetition Documents, the applicable FBG Prepetition Noteholders were granted first priority liens (the “</w:t>
      </w:r>
      <w:r>
        <w:rPr>
          <w:rFonts w:ascii="Times New Roman" w:cs="Times New Roman" w:eastAsia="Times New Roman" w:hAnsi="Times New Roman"/>
          <w:sz w:val="18"/>
          <w:szCs w:val="18"/>
          <w:b w:val="1"/>
          <w:bCs w:val="1"/>
          <w:i w:val="1"/>
          <w:iCs w:val="1"/>
          <w:color w:val="auto"/>
        </w:rPr>
        <w:t>FBG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Prepetition Liens</w:t>
      </w:r>
      <w:r>
        <w:rPr>
          <w:rFonts w:ascii="Times New Roman" w:cs="Times New Roman" w:eastAsia="Times New Roman" w:hAnsi="Times New Roman"/>
          <w:sz w:val="18"/>
          <w:szCs w:val="18"/>
          <w:color w:val="auto"/>
        </w:rPr>
        <w:t>”) on, and security interests in, the Collateral (as defined in and subject to the terms and limitations of the applicable FBG Prepetition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Indentures, the “</w:t>
      </w:r>
      <w:r>
        <w:rPr>
          <w:rFonts w:ascii="Times New Roman" w:cs="Times New Roman" w:eastAsia="Times New Roman" w:hAnsi="Times New Roman"/>
          <w:sz w:val="18"/>
          <w:szCs w:val="18"/>
          <w:b w:val="1"/>
          <w:bCs w:val="1"/>
          <w:i w:val="1"/>
          <w:iCs w:val="1"/>
          <w:color w:val="auto"/>
        </w:rPr>
        <w:t>FBG Prepetition Collateral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FBG Prepetition Documents, each of the Guarantors (as defined in the applicable FBG Prepetition Documents, and together with the FBG DIP Borrowers, the “</w:t>
      </w:r>
      <w:r>
        <w:rPr>
          <w:rFonts w:ascii="Times New Roman" w:cs="Times New Roman" w:eastAsia="Times New Roman" w:hAnsi="Times New Roman"/>
          <w:sz w:val="18"/>
          <w:szCs w:val="18"/>
          <w:b w:val="1"/>
          <w:bCs w:val="1"/>
          <w:i w:val="1"/>
          <w:iCs w:val="1"/>
          <w:color w:val="auto"/>
        </w:rPr>
        <w:t>FBG Prepetition Obligors</w:t>
      </w:r>
      <w:r>
        <w:rPr>
          <w:rFonts w:ascii="Times New Roman" w:cs="Times New Roman" w:eastAsia="Times New Roman" w:hAnsi="Times New Roman"/>
          <w:sz w:val="18"/>
          <w:szCs w:val="18"/>
          <w:color w:val="auto"/>
        </w:rPr>
        <w:t>”) has provided to the applicable FBG Prepetition Trustee an unconditional joint and several guaranty pursuant to, as applicable, (i) that certain Guarantee and Collateral Agreement, dated as of April 26, 2021, by and among the those certain Guarantors (as defined therein) in favor of the Royalty Prepetition Trustee (the “</w:t>
      </w:r>
      <w:r>
        <w:rPr>
          <w:rFonts w:ascii="Times New Roman" w:cs="Times New Roman" w:eastAsia="Times New Roman" w:hAnsi="Times New Roman"/>
          <w:sz w:val="18"/>
          <w:szCs w:val="18"/>
          <w:b w:val="1"/>
          <w:bCs w:val="1"/>
          <w:i w:val="1"/>
          <w:iCs w:val="1"/>
          <w:color w:val="auto"/>
        </w:rPr>
        <w:t>Royalty Guarantee and Collateral Agreement</w:t>
      </w:r>
      <w:r>
        <w:rPr>
          <w:rFonts w:ascii="Times New Roman" w:cs="Times New Roman" w:eastAsia="Times New Roman" w:hAnsi="Times New Roman"/>
          <w:sz w:val="18"/>
          <w:szCs w:val="18"/>
          <w:color w:val="auto"/>
        </w:rPr>
        <w:t>”), (ii) that certain Guarantee and Collateral Agreement, dated as of December 15, 2021, by and among those certain Guarantors (as defined therein) in favor of the FZ Prepetition Trustee (the “</w:t>
      </w:r>
      <w:r>
        <w:rPr>
          <w:rFonts w:ascii="Times New Roman" w:cs="Times New Roman" w:eastAsia="Times New Roman" w:hAnsi="Times New Roman"/>
          <w:sz w:val="18"/>
          <w:szCs w:val="18"/>
          <w:b w:val="1"/>
          <w:bCs w:val="1"/>
          <w:i w:val="1"/>
          <w:iCs w:val="1"/>
          <w:color w:val="auto"/>
        </w:rPr>
        <w:t>FZ Guarantee and Collateral Agreement</w:t>
      </w:r>
      <w:r>
        <w:rPr>
          <w:rFonts w:ascii="Times New Roman" w:cs="Times New Roman" w:eastAsia="Times New Roman" w:hAnsi="Times New Roman"/>
          <w:sz w:val="18"/>
          <w:szCs w:val="18"/>
          <w:color w:val="auto"/>
        </w:rPr>
        <w:t>”), and (iii) that certain Guarantee and Collateral Agreement, dated as of July 22, 2021, by and among those certain guarantors (as defined therein) in favor of the GFG Prepetition Trustee (the “</w:t>
      </w:r>
      <w:r>
        <w:rPr>
          <w:rFonts w:ascii="Times New Roman" w:cs="Times New Roman" w:eastAsia="Times New Roman" w:hAnsi="Times New Roman"/>
          <w:sz w:val="18"/>
          <w:szCs w:val="18"/>
          <w:b w:val="1"/>
          <w:bCs w:val="1"/>
          <w:i w:val="1"/>
          <w:iCs w:val="1"/>
          <w:color w:val="auto"/>
        </w:rPr>
        <w:t>GFG Guarantee and Collateral Agreement</w:t>
      </w:r>
      <w:r>
        <w:rPr>
          <w:rFonts w:ascii="Times New Roman" w:cs="Times New Roman" w:eastAsia="Times New Roman" w:hAnsi="Times New Roman"/>
          <w:sz w:val="18"/>
          <w:szCs w:val="18"/>
          <w:color w:val="auto"/>
        </w:rPr>
        <w:t>,” and together with the Royalty Guarantee and Collateral Agreement and the FZ Guarantee and Collateral Agreement, the “</w:t>
      </w:r>
      <w:r>
        <w:rPr>
          <w:rFonts w:ascii="Times New Roman" w:cs="Times New Roman" w:eastAsia="Times New Roman" w:hAnsi="Times New Roman"/>
          <w:sz w:val="18"/>
          <w:szCs w:val="18"/>
          <w:b w:val="1"/>
          <w:bCs w:val="1"/>
          <w:i w:val="1"/>
          <w:iCs w:val="1"/>
          <w:color w:val="auto"/>
        </w:rPr>
        <w:t>FBG Prepetition Guarantee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Collateral Agreements</w:t>
      </w:r>
      <w:r>
        <w:rPr>
          <w:rFonts w:ascii="Times New Roman" w:cs="Times New Roman" w:eastAsia="Times New Roman" w:hAnsi="Times New Roman"/>
          <w:sz w:val="18"/>
          <w:szCs w:val="18"/>
          <w:color w:val="auto"/>
        </w:rPr>
        <w:t>”), which guaranty is secured by the Collateral (as defined in the applicable FBG Prepetition Guarantee and Collateral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Petition Date, the FBG Prepetition Obligors were indebted and liable to the applicable FBG Prepetition Secured Parties under the applicable FBG Prepetition Documents, without objection, defense, counterclaim or offset of any kind, in respect of notes issued and other financial accommodations made by the FBG Prepetition Secured Parties in the aggregate principal amount of not less than $524,121,438 with respect to the FBG Prepetition Notes plus accrued and unpaid interest thereon, and fees, expenses, premiums, and all other obligations under the FBG Prepetition Documents, including any reasonable and documented attorneys’, accountants’, consultants’, appraisers’ and financial and other advisors’ fees that are chargeable or reimbursable under the FBG Prepetition Documents (collectively with postpetition interest to the extent allowed under the Bankruptcy Code, the “</w:t>
      </w:r>
      <w:r>
        <w:rPr>
          <w:rFonts w:ascii="Times New Roman" w:cs="Times New Roman" w:eastAsia="Times New Roman" w:hAnsi="Times New Roman"/>
          <w:sz w:val="18"/>
          <w:szCs w:val="18"/>
          <w:b w:val="1"/>
          <w:bCs w:val="1"/>
          <w:i w:val="1"/>
          <w:iCs w:val="1"/>
          <w:color w:val="auto"/>
        </w:rPr>
        <w:t>FBG Prepetition Secured Obligations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63"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Twin Prepetition Secured Obligations</w:t>
      </w:r>
      <w:r>
        <w:rPr>
          <w:rFonts w:ascii="Times New Roman" w:cs="Times New Roman" w:eastAsia="Times New Roman" w:hAnsi="Times New Roman"/>
          <w:sz w:val="18"/>
          <w:szCs w:val="18"/>
          <w:color w:val="auto"/>
        </w:rPr>
        <w:t>. Pursuant to that certain Base Indenture, dated as of November 21, 2024, as supplemented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Series 2024-1 Supplement thereto, dated as of November 21, 2024 (as further amended, restated, supplemented or otherwise modified from time to</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i w:val="1"/>
          <w:iCs w:val="1"/>
          <w:color w:val="auto"/>
        </w:rPr>
        <w:t>Twin Prepetition Indenture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by and among Twin Hospitality I, LLC, as issuer, and UMB, as trustee (the “</w:t>
      </w:r>
      <w:r>
        <w:rPr>
          <w:rFonts w:ascii="Times New Roman" w:cs="Times New Roman" w:eastAsia="Times New Roman" w:hAnsi="Times New Roman"/>
          <w:sz w:val="18"/>
          <w:szCs w:val="18"/>
          <w:b w:val="1"/>
          <w:bCs w:val="1"/>
          <w:i w:val="1"/>
          <w:iCs w:val="1"/>
          <w:color w:val="auto"/>
        </w:rPr>
        <w:t>Twin Prepetition Trustee</w:t>
      </w:r>
      <w:r>
        <w:rPr>
          <w:rFonts w:ascii="Times New Roman" w:cs="Times New Roman" w:eastAsia="Times New Roman" w:hAnsi="Times New Roman"/>
          <w:sz w:val="18"/>
          <w:szCs w:val="18"/>
          <w:color w:val="auto"/>
        </w:rPr>
        <w:t>” and, together, with each of the FBG Prepetition Trustees, the “</w:t>
      </w:r>
      <w:r>
        <w:rPr>
          <w:rFonts w:ascii="Times New Roman" w:cs="Times New Roman" w:eastAsia="Times New Roman" w:hAnsi="Times New Roman"/>
          <w:sz w:val="18"/>
          <w:szCs w:val="18"/>
          <w:b w:val="1"/>
          <w:bCs w:val="1"/>
          <w:i w:val="1"/>
          <w:iCs w:val="1"/>
          <w:color w:val="auto"/>
        </w:rPr>
        <w:t>Prepetition Trustees</w:t>
      </w:r>
      <w:r>
        <w:rPr>
          <w:rFonts w:ascii="Times New Roman" w:cs="Times New Roman" w:eastAsia="Times New Roman" w:hAnsi="Times New Roman"/>
          <w:sz w:val="18"/>
          <w:szCs w:val="18"/>
          <w:color w:val="auto"/>
        </w:rPr>
        <w:t>”) and as securities intermediary: on November 21, 2024, Twin Hospitality I, LLC issued $12,124,000 in aggregate principal amount of Series 2024-1 Class A-2-I super senior secured notes and $269,257,000 in aggregate principal amount of Series 2024-1 Class A-2-II senior secured notes, each with an interest rate of 9.00% and a maturity date of October 26, 2054 (collectively, the “</w:t>
      </w:r>
      <w:r>
        <w:rPr>
          <w:rFonts w:ascii="Times New Roman" w:cs="Times New Roman" w:eastAsia="Times New Roman" w:hAnsi="Times New Roman"/>
          <w:sz w:val="18"/>
          <w:szCs w:val="18"/>
          <w:b w:val="1"/>
          <w:bCs w:val="1"/>
          <w:i w:val="1"/>
          <w:iCs w:val="1"/>
          <w:color w:val="auto"/>
        </w:rPr>
        <w:t>Twin Prepetition Notes</w:t>
      </w:r>
      <w:r>
        <w:rPr>
          <w:rFonts w:ascii="Times New Roman" w:cs="Times New Roman" w:eastAsia="Times New Roman" w:hAnsi="Times New Roman"/>
          <w:sz w:val="18"/>
          <w:szCs w:val="18"/>
          <w:color w:val="auto"/>
        </w:rPr>
        <w:t>,” the holders thereof, the “</w:t>
      </w:r>
      <w:r>
        <w:rPr>
          <w:rFonts w:ascii="Times New Roman" w:cs="Times New Roman" w:eastAsia="Times New Roman" w:hAnsi="Times New Roman"/>
          <w:sz w:val="18"/>
          <w:szCs w:val="18"/>
          <w:b w:val="1"/>
          <w:bCs w:val="1"/>
          <w:i w:val="1"/>
          <w:iCs w:val="1"/>
          <w:color w:val="auto"/>
        </w:rPr>
        <w:t>Twin Prepetition Noteholders</w:t>
      </w:r>
      <w:r>
        <w:rPr>
          <w:rFonts w:ascii="Times New Roman" w:cs="Times New Roman" w:eastAsia="Times New Roman" w:hAnsi="Times New Roman"/>
          <w:sz w:val="18"/>
          <w:szCs w:val="18"/>
          <w:color w:val="auto"/>
        </w:rPr>
        <w:t>,” and together with the Twin Prepetition Trustee, the “</w:t>
      </w:r>
      <w:r>
        <w:rPr>
          <w:rFonts w:ascii="Times New Roman" w:cs="Times New Roman" w:eastAsia="Times New Roman" w:hAnsi="Times New Roman"/>
          <w:sz w:val="18"/>
          <w:szCs w:val="18"/>
          <w:b w:val="1"/>
          <w:bCs w:val="1"/>
          <w:i w:val="1"/>
          <w:iCs w:val="1"/>
          <w:color w:val="auto"/>
        </w:rPr>
        <w:t>Twin Prepetition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8</w:t>
      </w:r>
    </w:p>
    <w:p>
      <w:pPr>
        <w:spacing w:after="0" w:line="76" w:lineRule="exact"/>
        <w:rPr>
          <w:sz w:val="20"/>
          <w:szCs w:val="20"/>
          <w:color w:val="auto"/>
        </w:rPr>
      </w:pPr>
    </w:p>
    <w:p>
      <w:pPr>
        <w:jc w:val="both"/>
        <w:ind w:firstLine="1304"/>
        <w:spacing w:after="0" w:line="268" w:lineRule="auto"/>
        <w:tabs>
          <w:tab w:leader="none" w:pos="16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Twin Prepetition Documents, the applicable Twin Prepetition Noteholders were granted first priority liens (the “</w:t>
      </w:r>
      <w:r>
        <w:rPr>
          <w:rFonts w:ascii="Times New Roman" w:cs="Times New Roman" w:eastAsia="Times New Roman" w:hAnsi="Times New Roman"/>
          <w:sz w:val="18"/>
          <w:szCs w:val="18"/>
          <w:b w:val="1"/>
          <w:bCs w:val="1"/>
          <w:i w:val="1"/>
          <w:iCs w:val="1"/>
          <w:color w:val="auto"/>
        </w:rPr>
        <w:t>Twin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Prepetition Liens</w:t>
      </w:r>
      <w:r>
        <w:rPr>
          <w:rFonts w:ascii="Times New Roman" w:cs="Times New Roman" w:eastAsia="Times New Roman" w:hAnsi="Times New Roman"/>
          <w:sz w:val="18"/>
          <w:szCs w:val="18"/>
          <w:color w:val="auto"/>
        </w:rPr>
        <w:t>” and, together with the FBG Prepetition Liens, the “</w:t>
      </w:r>
      <w:r>
        <w:rPr>
          <w:rFonts w:ascii="Times New Roman" w:cs="Times New Roman" w:eastAsia="Times New Roman" w:hAnsi="Times New Roman"/>
          <w:sz w:val="18"/>
          <w:szCs w:val="18"/>
          <w:b w:val="1"/>
          <w:bCs w:val="1"/>
          <w:i w:val="1"/>
          <w:iCs w:val="1"/>
          <w:color w:val="auto"/>
        </w:rPr>
        <w:t>Prepetition Liens</w:t>
      </w:r>
      <w:r>
        <w:rPr>
          <w:rFonts w:ascii="Times New Roman" w:cs="Times New Roman" w:eastAsia="Times New Roman" w:hAnsi="Times New Roman"/>
          <w:sz w:val="18"/>
          <w:szCs w:val="18"/>
          <w:color w:val="auto"/>
        </w:rPr>
        <w:t>”) on, and security interests in, the Collateral (as defined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Twin Prepetition Indenture, the “</w:t>
      </w:r>
      <w:r>
        <w:rPr>
          <w:rFonts w:ascii="Times New Roman" w:cs="Times New Roman" w:eastAsia="Times New Roman" w:hAnsi="Times New Roman"/>
          <w:sz w:val="18"/>
          <w:szCs w:val="18"/>
          <w:b w:val="1"/>
          <w:bCs w:val="1"/>
          <w:i w:val="1"/>
          <w:iCs w:val="1"/>
          <w:color w:val="auto"/>
        </w:rPr>
        <w:t>Twin Prepetition Collateral</w:t>
      </w:r>
      <w:r>
        <w:rPr>
          <w:rFonts w:ascii="Times New Roman" w:cs="Times New Roman" w:eastAsia="Times New Roman" w:hAnsi="Times New Roman"/>
          <w:sz w:val="18"/>
          <w:szCs w:val="18"/>
          <w:color w:val="auto"/>
        </w:rPr>
        <w:t>” and, together with the FBG Prepetition Collateral, the “</w:t>
      </w:r>
      <w:r>
        <w:rPr>
          <w:rFonts w:ascii="Times New Roman" w:cs="Times New Roman" w:eastAsia="Times New Roman" w:hAnsi="Times New Roman"/>
          <w:sz w:val="18"/>
          <w:szCs w:val="18"/>
          <w:b w:val="1"/>
          <w:bCs w:val="1"/>
          <w:i w:val="1"/>
          <w:iCs w:val="1"/>
          <w:color w:val="auto"/>
        </w:rPr>
        <w:t>Prepetition Collateral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Twin Prepetition Documents, each of the Guarantors (as defined in the Twin Prepetition Documents, and together with the Twin DIP Borrower, the “</w:t>
      </w:r>
      <w:r>
        <w:rPr>
          <w:rFonts w:ascii="Times New Roman" w:cs="Times New Roman" w:eastAsia="Times New Roman" w:hAnsi="Times New Roman"/>
          <w:sz w:val="18"/>
          <w:szCs w:val="18"/>
          <w:b w:val="1"/>
          <w:bCs w:val="1"/>
          <w:i w:val="1"/>
          <w:iCs w:val="1"/>
          <w:color w:val="auto"/>
        </w:rPr>
        <w:t>Twin Prepetition Obligors</w:t>
      </w:r>
      <w:r>
        <w:rPr>
          <w:rFonts w:ascii="Times New Roman" w:cs="Times New Roman" w:eastAsia="Times New Roman" w:hAnsi="Times New Roman"/>
          <w:sz w:val="18"/>
          <w:szCs w:val="18"/>
          <w:color w:val="auto"/>
        </w:rPr>
        <w:t>” and, together with the FBG Prepetition Obligors, the “</w:t>
      </w:r>
      <w:r>
        <w:rPr>
          <w:rFonts w:ascii="Times New Roman" w:cs="Times New Roman" w:eastAsia="Times New Roman" w:hAnsi="Times New Roman"/>
          <w:sz w:val="18"/>
          <w:szCs w:val="18"/>
          <w:b w:val="1"/>
          <w:bCs w:val="1"/>
          <w:i w:val="1"/>
          <w:iCs w:val="1"/>
          <w:color w:val="auto"/>
        </w:rPr>
        <w:t>Prepetition Obligors</w:t>
      </w:r>
      <w:r>
        <w:rPr>
          <w:rFonts w:ascii="Times New Roman" w:cs="Times New Roman" w:eastAsia="Times New Roman" w:hAnsi="Times New Roman"/>
          <w:sz w:val="18"/>
          <w:szCs w:val="18"/>
          <w:color w:val="auto"/>
        </w:rPr>
        <w:t>”) has provided to the Twin Prepetition Trustee an unconditional joint and several guaranty pursuant to, as applicable, that certain Guarantee and Collateral Agreement, dated as of November 21, 2024, by and among those certain Guarantors (as defined therein) in favor of the Twin Prepetition Trustee (the “</w:t>
      </w:r>
      <w:r>
        <w:rPr>
          <w:rFonts w:ascii="Times New Roman" w:cs="Times New Roman" w:eastAsia="Times New Roman" w:hAnsi="Times New Roman"/>
          <w:sz w:val="18"/>
          <w:szCs w:val="18"/>
          <w:b w:val="1"/>
          <w:bCs w:val="1"/>
          <w:i w:val="1"/>
          <w:iCs w:val="1"/>
          <w:color w:val="auto"/>
        </w:rPr>
        <w:t>Twin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Collateral Agreement</w:t>
      </w:r>
      <w:r>
        <w:rPr>
          <w:rFonts w:ascii="Times New Roman" w:cs="Times New Roman" w:eastAsia="Times New Roman" w:hAnsi="Times New Roman"/>
          <w:sz w:val="18"/>
          <w:szCs w:val="18"/>
          <w:color w:val="auto"/>
        </w:rPr>
        <w:t>”), which guaranty is secured by the Twin Prepetition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8" w:lineRule="exact"/>
        <w:rPr>
          <w:sz w:val="20"/>
          <w:szCs w:val="20"/>
          <w:color w:val="auto"/>
        </w:rPr>
      </w:pPr>
    </w:p>
    <w:p>
      <w:pPr>
        <w:jc w:val="both"/>
        <w:ind w:left="34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Twin Prepetition Indenture collectively with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Twin Prepetition Indenture) shall be referred to herein as the “</w:t>
      </w:r>
      <w:r>
        <w:rPr>
          <w:rFonts w:ascii="Times New Roman" w:cs="Times New Roman" w:eastAsia="Times New Roman" w:hAnsi="Times New Roman"/>
          <w:sz w:val="18"/>
          <w:szCs w:val="18"/>
          <w:b w:val="1"/>
          <w:bCs w:val="1"/>
          <w:i w:val="1"/>
          <w:iCs w:val="1"/>
          <w:color w:val="auto"/>
        </w:rPr>
        <w:t>Twin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Prepetition Documents.” </w:t>
      </w:r>
      <w:r>
        <w:rPr>
          <w:rFonts w:ascii="Times New Roman" w:cs="Times New Roman" w:eastAsia="Times New Roman" w:hAnsi="Times New Roman"/>
          <w:sz w:val="18"/>
          <w:szCs w:val="18"/>
          <w:color w:val="auto"/>
        </w:rPr>
        <w:t>The Twin Prepetition Documents together with the FBG Prepetition Documents shall be referred to herein as the “Prepetition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Documents.”</w:t>
      </w:r>
    </w:p>
    <w:p>
      <w:pPr>
        <w:spacing w:after="0" w:line="179" w:lineRule="exact"/>
        <w:rPr>
          <w:sz w:val="20"/>
          <w:szCs w:val="20"/>
          <w:color w:val="auto"/>
        </w:rPr>
      </w:pPr>
    </w:p>
    <w:p>
      <w:pPr>
        <w:jc w:val="both"/>
        <w:ind w:left="340" w:hanging="332"/>
        <w:spacing w:after="0" w:line="211"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Twin Prepetition Notes, together with the FBG Prepetition Notes, shall be referred to herein as the “</w:t>
      </w:r>
      <w:r>
        <w:rPr>
          <w:rFonts w:ascii="Times New Roman" w:cs="Times New Roman" w:eastAsia="Times New Roman" w:hAnsi="Times New Roman"/>
          <w:sz w:val="18"/>
          <w:szCs w:val="18"/>
          <w:b w:val="1"/>
          <w:bCs w:val="1"/>
          <w:i w:val="1"/>
          <w:iCs w:val="1"/>
          <w:color w:val="auto"/>
        </w:rPr>
        <w:t>Prepetition Notes</w:t>
      </w:r>
      <w:r>
        <w:rPr>
          <w:rFonts w:ascii="Times New Roman" w:cs="Times New Roman" w:eastAsia="Times New Roman" w:hAnsi="Times New Roman"/>
          <w:sz w:val="18"/>
          <w:szCs w:val="18"/>
          <w:color w:val="auto"/>
        </w:rPr>
        <w:t>.” The Twin Prepetition Noteholders, together with the FBG Prepetition Noteholders, shall be referred to herein as the “</w:t>
      </w:r>
      <w:r>
        <w:rPr>
          <w:rFonts w:ascii="Times New Roman" w:cs="Times New Roman" w:eastAsia="Times New Roman" w:hAnsi="Times New Roman"/>
          <w:sz w:val="18"/>
          <w:szCs w:val="18"/>
          <w:b w:val="1"/>
          <w:bCs w:val="1"/>
          <w:i w:val="1"/>
          <w:iCs w:val="1"/>
          <w:color w:val="auto"/>
        </w:rPr>
        <w:t>Prepetition Noteholders</w:t>
      </w:r>
      <w:r>
        <w:rPr>
          <w:rFonts w:ascii="Times New Roman" w:cs="Times New Roman" w:eastAsia="Times New Roman" w:hAnsi="Times New Roman"/>
          <w:sz w:val="18"/>
          <w:szCs w:val="18"/>
          <w:color w:val="auto"/>
        </w:rPr>
        <w:t>.” The Twin Prepetition Secured Parties, together with the FBG Prepetition Secured Parties, shall be referred to herein as the “</w:t>
      </w:r>
      <w:r>
        <w:rPr>
          <w:rFonts w:ascii="Times New Roman" w:cs="Times New Roman" w:eastAsia="Times New Roman" w:hAnsi="Times New Roman"/>
          <w:sz w:val="18"/>
          <w:szCs w:val="18"/>
          <w:b w:val="1"/>
          <w:bCs w:val="1"/>
          <w:i w:val="1"/>
          <w:iCs w:val="1"/>
          <w:color w:val="auto"/>
        </w:rPr>
        <w:t>Prepetition Secured Parties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both"/>
        <w:ind w:firstLine="1304"/>
        <w:spacing w:after="0" w:line="255" w:lineRule="auto"/>
        <w:tabs>
          <w:tab w:leader="none" w:pos="17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Petition Date, the Twin Prepetition Obligors were indebted and liable to the applicable Twin Prepetition Secured Parties under the applicable Twin Prepetition Documents, without objection, defense, counterclaim or offset of any kind, in respect of notes issued and other financial accommodations made by the Twin Prepetition Secured Parties in the aggregate principal amount of not less than $412,265,821.25 with respect to the Twin Prepetition Notes plus accrued and unpaid interest thereon, and fees, expenses, premiums, and all other obligations under the Twin Prepetition Documents, including any reasonable and documented attorneys’, accountants’, consultants’, appraisers’ and financial and other advisors’ fees that are chargeable or reimbursable under the Twin Prepetition Documents (collectively with postpetition interest to the extent allowed under the Bankruptcy Code, the “</w:t>
      </w:r>
      <w:r>
        <w:rPr>
          <w:rFonts w:ascii="Times New Roman" w:cs="Times New Roman" w:eastAsia="Times New Roman" w:hAnsi="Times New Roman"/>
          <w:sz w:val="18"/>
          <w:szCs w:val="18"/>
          <w:b w:val="1"/>
          <w:bCs w:val="1"/>
          <w:i w:val="1"/>
          <w:iCs w:val="1"/>
          <w:color w:val="auto"/>
        </w:rPr>
        <w:t>Twin Prepetition Secured Obligations</w:t>
      </w:r>
      <w:r>
        <w:rPr>
          <w:rFonts w:ascii="Times New Roman" w:cs="Times New Roman" w:eastAsia="Times New Roman" w:hAnsi="Times New Roman"/>
          <w:sz w:val="18"/>
          <w:szCs w:val="18"/>
          <w:color w:val="auto"/>
        </w:rPr>
        <w:t>” and, together with the FBG Prepetition Secured Obligations, the “</w:t>
      </w:r>
      <w:r>
        <w:rPr>
          <w:rFonts w:ascii="Times New Roman" w:cs="Times New Roman" w:eastAsia="Times New Roman" w:hAnsi="Times New Roman"/>
          <w:sz w:val="18"/>
          <w:szCs w:val="18"/>
          <w:b w:val="1"/>
          <w:bCs w:val="1"/>
          <w:i w:val="1"/>
          <w:iCs w:val="1"/>
          <w:color w:val="auto"/>
        </w:rPr>
        <w:t>Prepetition Secured Obligations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Enforceability of Prepetition Secured Obligations</w:t>
      </w:r>
      <w:r>
        <w:rPr>
          <w:rFonts w:ascii="Times New Roman" w:cs="Times New Roman" w:eastAsia="Times New Roman" w:hAnsi="Times New Roman"/>
          <w:sz w:val="18"/>
          <w:szCs w:val="18"/>
          <w:color w:val="auto"/>
        </w:rPr>
        <w:t>. The Prepetition Documents and the Prepetition Secured Obligations are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valid, binding, and enforceable against each applicable Debtor that is a party to the applicable Prepetition Documents (other than in respect of the stay of enforcement arising from Section 362 of the Bankruptcy Code) and (b) not subject to any contest, attack, objection, recoupment, defense, counterclaim, offset, subordination, re-characterization, avoidance or other “claim” (as defined in Section 101(5) of the Bankruptcy Code), cause of action or other challenge of any kind or nature under the Bankruptcy Code, under applicable non-bankruptcy law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Enforceability of Prepetition Liens</w:t>
      </w:r>
      <w:r>
        <w:rPr>
          <w:rFonts w:ascii="Times New Roman" w:cs="Times New Roman" w:eastAsia="Times New Roman" w:hAnsi="Times New Roman"/>
          <w:sz w:val="18"/>
          <w:szCs w:val="18"/>
          <w:color w:val="auto"/>
        </w:rPr>
        <w:t>. The Prepetition Liens granted by the Debtors party to, and under, the Prepetition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the benefit of the applicable Prepetition Secured Parties as security for the applicable Prepetition Secured Obligations encumber the Prepetition Collateral, as the same existed on the Petition Date. The Prepetition Liens have been properly recorded and perfected under applicable non-bankruptcy law, and are legal, valid, enforceable, non-avoidable, and not subject to contest, avoidance, attack, offset, re-characterization, subordination (subject to any intercreditor agreement) or other challenge of any kind or nature under the Bankruptcy Code (other than in respect of the stay of enforcement arising from Section 362 of the Bankruptcy Code), under applicable non-bankruptcy law or otherwise. As of the Petition Date, and without giving effect to the Interim Order, the Second Interim Order, or this Final Order, the Debtors are not aware, after making due inquiry, of any liens or security interests in the Prepetition Collateral having priority over the Prepetition Liens, except the Permitted Prior Liens (as defined below). The Prepetition Liens were granted to or for the benefit of the applicable Prepetition Secured Parties for fair consideration and reasonably equivalent value, and were granted contemporaneously with the issuance of notes and other financial accommodations secured thereby.</w:t>
      </w:r>
    </w:p>
    <w:p>
      <w:pPr>
        <w:spacing w:after="0" w:line="18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Collateral</w:t>
      </w:r>
      <w:r>
        <w:rPr>
          <w:rFonts w:ascii="Times New Roman" w:cs="Times New Roman" w:eastAsia="Times New Roman" w:hAnsi="Times New Roman"/>
          <w:sz w:val="18"/>
          <w:szCs w:val="18"/>
          <w:color w:val="auto"/>
        </w:rPr>
        <w:t>. All of the cash of the Debtors that are Prepetition Obligors, including any cash in deposit accounts held by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Prepetition Obligors, wherever located, constitutes Cash Collateral of the applicable Prepetition Secured Parties, unless such cash is subject to a Collateral Exclusion under (and as defined in) the applicable Prepetition Documents.</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Prepetition Defaults</w:t>
      </w:r>
      <w:r>
        <w:rPr>
          <w:rFonts w:ascii="Times New Roman" w:cs="Times New Roman" w:eastAsia="Times New Roman" w:hAnsi="Times New Roman"/>
          <w:sz w:val="18"/>
          <w:szCs w:val="18"/>
          <w:color w:val="auto"/>
        </w:rPr>
        <w:t>. Prior to the Petition Date, the Debtors used certain cash on hand to fund their operations rather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depositing such collections into certain accounts as required under the Prepetition Documents. Such failure, in addition to additional acts and omissions of the Debtors, resulted in events of default and manager termination events under the Prepetition Documents (the “</w:t>
      </w:r>
      <w:r>
        <w:rPr>
          <w:rFonts w:ascii="Times New Roman" w:cs="Times New Roman" w:eastAsia="Times New Roman" w:hAnsi="Times New Roman"/>
          <w:sz w:val="18"/>
          <w:szCs w:val="18"/>
          <w:b w:val="1"/>
          <w:bCs w:val="1"/>
          <w:i w:val="1"/>
          <w:iCs w:val="1"/>
          <w:color w:val="auto"/>
        </w:rPr>
        <w:t>Prepetition Defaults</w:t>
      </w:r>
      <w:r>
        <w:rPr>
          <w:rFonts w:ascii="Times New Roman" w:cs="Times New Roman" w:eastAsia="Times New Roman" w:hAnsi="Times New Roman"/>
          <w:sz w:val="18"/>
          <w:szCs w:val="18"/>
          <w:color w:val="auto"/>
        </w:rPr>
        <w:t>”). On October 23, 2025, the Prepetition Trustees posted a notice stating that they had not received amounts required to be transferred from the Concentration Accounts to the Collection Accounts (each as defined in the applicable Prepetition Documents) on September 5, 2025 and October 10, 2025. The Managers subsequently filed quarterly reports with the U.S. Securities and Exchange Commission disclosing their receipt of the Prepetition Trustees’ notice. The WBS Ad Hoc Group directed the acceleration of all amounts due and owing under the FBG Prepetition Notes and Twin Prepetition Notes on November 17, 2025. As a result, all principal, interest, and other amounts outstanding under the FBG Prepetition Notes and Twin Prepetition Notes became immediately due and payable prior to the Petition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Prepetition Limited Guarantees</w:t>
      </w:r>
      <w:r>
        <w:rPr>
          <w:rFonts w:ascii="Times New Roman" w:cs="Times New Roman" w:eastAsia="Times New Roman" w:hAnsi="Times New Roman"/>
          <w:sz w:val="18"/>
          <w:szCs w:val="18"/>
          <w:color w:val="auto"/>
        </w:rPr>
        <w:t>. Pursuant to that certain (i) Limited Guaranty, dated as of July 22, 2021, by and among the FBG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and the FBG Prepetition Trustee for the FAT Brands GFG Royalty I, LLC silo, (ii) Limited Guaranty, dated as of December 15, 2021, by and among the FBG Manager and the FBG Prepetition Trustee for the FAT Brands Fazoli’s Native I, LLC silo, and (iii) Limited Guaranty, dated as of November 21, 2024, by and among the Twin Manager and the Twin Prepetition Trustee for the Twin Hospitality I, LLC silo (collectively, the “</w:t>
      </w:r>
      <w:r>
        <w:rPr>
          <w:rFonts w:ascii="Times New Roman" w:cs="Times New Roman" w:eastAsia="Times New Roman" w:hAnsi="Times New Roman"/>
          <w:sz w:val="18"/>
          <w:szCs w:val="18"/>
          <w:b w:val="1"/>
          <w:bCs w:val="1"/>
          <w:i w:val="1"/>
          <w:iCs w:val="1"/>
          <w:color w:val="auto"/>
        </w:rPr>
        <w:t>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the FBG Manager or Twin Manager, as applicable, agreed (i) to be personally and unconditionally liable for any liability, loss, damage,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expense of whatever kind or nature suffered or incurred by the FBG Prepetition Trustee (for the FAT Brands Fazoli’s Native I, LLC and FAT Brands GFG Royalty I, LLC silos only) or the Twin Prepetition Notes Trustee, as applicable, to the extent resulting from or arising out of the occurrence of certain “Trigger Events” (as defined in each Limited Guaranty), and to indemnify and hold harmless the applicable Prepetition Trustee for the same, and (ii) that, as to the parties under the applicable Limited Guaranty, any indebtedness owed by the applicable FBG DIP Loan Parties or the Twin DIP Loan Parties to the applicable guarantor shall be subordinate as to lien, time of payment, and in all other respects to the indefeasible payment in full of all Obligations (as defined in the applicable Prepetition Documents) (other than contingent indemnification obligations under the Prepetition Documents) and that the guarantors under the Limited Guarantees shall not be entitled to enforce or receive payment thereof until all such Obligations have been paid full. As a result of the Prepetition Defaults, one or more Trigger Events have occurred under each Limited Guaranty and, accordingly, the FBG Manager and the Twin Manager, as applicable, are personally and unconditionally liable for the foregoing liabilities, losses, damages, costs, and expenses and required to indemnify the applicable Prepetition Trustee for the same. For the avoidance of doubt, the Limited Guarantees do not apply to the FAT Brands Royalty I, LLC silo.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1304"/>
        <w:spacing w:after="0" w:line="253" w:lineRule="auto"/>
        <w:tabs>
          <w:tab w:leader="none" w:pos="16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Prepetition Management Fees</w:t>
      </w:r>
      <w:r>
        <w:rPr>
          <w:rFonts w:ascii="Times New Roman" w:cs="Times New Roman" w:eastAsia="Times New Roman" w:hAnsi="Times New Roman"/>
          <w:sz w:val="18"/>
          <w:szCs w:val="18"/>
          <w:color w:val="auto"/>
        </w:rPr>
        <w:t>. Pursuant to that certain (i) Management Agreement, dated March 6, 2020, by and among the FAT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Royalty I, LLC, the FBG Manager, and the Royalty Prepetition Trustee (as amended, restated, supplemented or otherwise modified from time to time, the “</w:t>
      </w:r>
      <w:r>
        <w:rPr>
          <w:rFonts w:ascii="Times New Roman" w:cs="Times New Roman" w:eastAsia="Times New Roman" w:hAnsi="Times New Roman"/>
          <w:sz w:val="18"/>
          <w:szCs w:val="18"/>
          <w:b w:val="1"/>
          <w:bCs w:val="1"/>
          <w:i w:val="1"/>
          <w:iCs w:val="1"/>
          <w:color w:val="auto"/>
        </w:rPr>
        <w:t>Royalty Management Agreement</w:t>
      </w:r>
      <w:r>
        <w:rPr>
          <w:rFonts w:ascii="Times New Roman" w:cs="Times New Roman" w:eastAsia="Times New Roman" w:hAnsi="Times New Roman"/>
          <w:sz w:val="18"/>
          <w:szCs w:val="18"/>
          <w:color w:val="auto"/>
        </w:rPr>
        <w:t>”), (ii) Management Agreement, dated December 15, 2021, by and among the FAT Brands Fazoli’s Native I, LLC, the FBG Manager, and the FZ Prepetition Trustee (as amended, restated, supplemented or otherwise modified from time to time, the “</w:t>
      </w:r>
      <w:r>
        <w:rPr>
          <w:rFonts w:ascii="Times New Roman" w:cs="Times New Roman" w:eastAsia="Times New Roman" w:hAnsi="Times New Roman"/>
          <w:sz w:val="18"/>
          <w:szCs w:val="18"/>
          <w:b w:val="1"/>
          <w:bCs w:val="1"/>
          <w:i w:val="1"/>
          <w:iCs w:val="1"/>
          <w:color w:val="auto"/>
        </w:rPr>
        <w:t>FZ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Agreement</w:t>
      </w:r>
      <w:r>
        <w:rPr>
          <w:rFonts w:ascii="Times New Roman" w:cs="Times New Roman" w:eastAsia="Times New Roman" w:hAnsi="Times New Roman"/>
          <w:sz w:val="18"/>
          <w:szCs w:val="18"/>
          <w:color w:val="auto"/>
        </w:rPr>
        <w:t>”), (iii) Management Agreement, dated July 22, 2021, by and among the FAT Brands GFG Royalty I, LLC, the FBG Manager,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GFG Prepetition Trustee (as amended, restated, supplemented or otherwise modified from time to time, the “</w:t>
      </w:r>
      <w:r>
        <w:rPr>
          <w:rFonts w:ascii="Times New Roman" w:cs="Times New Roman" w:eastAsia="Times New Roman" w:hAnsi="Times New Roman"/>
          <w:sz w:val="18"/>
          <w:szCs w:val="18"/>
          <w:b w:val="1"/>
          <w:bCs w:val="1"/>
          <w:i w:val="1"/>
          <w:iCs w:val="1"/>
          <w:color w:val="auto"/>
        </w:rPr>
        <w:t>GFG Management Agreement</w:t>
      </w:r>
      <w:r>
        <w:rPr>
          <w:rFonts w:ascii="Times New Roman" w:cs="Times New Roman" w:eastAsia="Times New Roman" w:hAnsi="Times New Roman"/>
          <w:sz w:val="18"/>
          <w:szCs w:val="18"/>
          <w:color w:val="auto"/>
        </w:rPr>
        <w:t>” and together with the Royalty Management Agreement and FZ Management Agreement, the “</w:t>
      </w:r>
      <w:r>
        <w:rPr>
          <w:rFonts w:ascii="Times New Roman" w:cs="Times New Roman" w:eastAsia="Times New Roman" w:hAnsi="Times New Roman"/>
          <w:sz w:val="18"/>
          <w:szCs w:val="18"/>
          <w:b w:val="1"/>
          <w:bCs w:val="1"/>
          <w:i w:val="1"/>
          <w:iCs w:val="1"/>
          <w:color w:val="auto"/>
        </w:rPr>
        <w:t>FBG Management Agreements</w:t>
      </w:r>
      <w:r>
        <w:rPr>
          <w:rFonts w:ascii="Times New Roman" w:cs="Times New Roman" w:eastAsia="Times New Roman" w:hAnsi="Times New Roman"/>
          <w:sz w:val="18"/>
          <w:szCs w:val="18"/>
          <w:color w:val="auto"/>
        </w:rPr>
        <w:t>”), and (iv) Management Agreement, dated November 21, 2024, by and among the Twin Hospitality I, LLC, the Twin Manager, and the Twin Prepetition Trustee (as amended, restated, supplemented or otherwise modified from time to time, the “</w:t>
      </w:r>
      <w:r>
        <w:rPr>
          <w:rFonts w:ascii="Times New Roman" w:cs="Times New Roman" w:eastAsia="Times New Roman" w:hAnsi="Times New Roman"/>
          <w:sz w:val="18"/>
          <w:szCs w:val="18"/>
          <w:b w:val="1"/>
          <w:bCs w:val="1"/>
          <w:i w:val="1"/>
          <w:iCs w:val="1"/>
          <w:color w:val="auto"/>
        </w:rPr>
        <w:t>Twin Management Agreement</w:t>
      </w:r>
      <w:r>
        <w:rPr>
          <w:rFonts w:ascii="Times New Roman" w:cs="Times New Roman" w:eastAsia="Times New Roman" w:hAnsi="Times New Roman"/>
          <w:sz w:val="18"/>
          <w:szCs w:val="18"/>
          <w:color w:val="auto"/>
        </w:rPr>
        <w:t>” and, together with the FBG Management Agreements, the “</w:t>
      </w:r>
      <w:r>
        <w:rPr>
          <w:rFonts w:ascii="Times New Roman" w:cs="Times New Roman" w:eastAsia="Times New Roman" w:hAnsi="Times New Roman"/>
          <w:sz w:val="18"/>
          <w:szCs w:val="18"/>
          <w:b w:val="1"/>
          <w:bCs w:val="1"/>
          <w:i w:val="1"/>
          <w:iCs w:val="1"/>
          <w:color w:val="auto"/>
        </w:rPr>
        <w:t>Management Agreements</w:t>
      </w:r>
      <w:r>
        <w:rPr>
          <w:rFonts w:ascii="Times New Roman" w:cs="Times New Roman" w:eastAsia="Times New Roman" w:hAnsi="Times New Roman"/>
          <w:sz w:val="18"/>
          <w:szCs w:val="18"/>
          <w:color w:val="auto"/>
        </w:rPr>
        <w:t>”), the Managers agreed to provide certain management services, subject to various restrictions and covenants, to the FBG DIP Borrowers and the Twin DIP Borrower, as applicable. As of the Petition Date, no Monthly Management Fees (as defined in the Management Agreements), Supplemental Management Fees (as defined in the Management Agreements and, together with the Monthly Management Fees, the “</w:t>
      </w:r>
      <w:r>
        <w:rPr>
          <w:rFonts w:ascii="Times New Roman" w:cs="Times New Roman" w:eastAsia="Times New Roman" w:hAnsi="Times New Roman"/>
          <w:sz w:val="18"/>
          <w:szCs w:val="18"/>
          <w:b w:val="1"/>
          <w:bCs w:val="1"/>
          <w:i w:val="1"/>
          <w:iCs w:val="1"/>
          <w:color w:val="auto"/>
        </w:rPr>
        <w:t>Management Fees</w:t>
      </w:r>
      <w:r>
        <w:rPr>
          <w:rFonts w:ascii="Times New Roman" w:cs="Times New Roman" w:eastAsia="Times New Roman" w:hAnsi="Times New Roman"/>
          <w:sz w:val="18"/>
          <w:szCs w:val="18"/>
          <w:color w:val="auto"/>
        </w:rPr>
        <w:t>”), expenses, or any other amounts or charges were due and owing by the FBG DIP Borrowers, the Twin DIP Borrower, or any other DIP Loan Party to any Manager under the Management Agreements, as applicable.</w:t>
      </w:r>
    </w:p>
    <w:p>
      <w:pPr>
        <w:spacing w:after="0" w:line="18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Control</w:t>
      </w:r>
      <w:r>
        <w:rPr>
          <w:rFonts w:ascii="Times New Roman" w:cs="Times New Roman" w:eastAsia="Times New Roman" w:hAnsi="Times New Roman"/>
          <w:sz w:val="18"/>
          <w:szCs w:val="18"/>
          <w:color w:val="auto"/>
        </w:rPr>
        <w:t>. None of the DIP Secured Parties or the Prepetition Secured Parties are control persons or insiders of the Debtors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affiliates by virtue of any of the actions taken with respect to, in connection with, related to, or arising from the DIP Facility, the DIP Documents and/or the Prepetition Documents.</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7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Claims, Causes of Action</w:t>
      </w:r>
      <w:r>
        <w:rPr>
          <w:rFonts w:ascii="Times New Roman" w:cs="Times New Roman" w:eastAsia="Times New Roman" w:hAnsi="Times New Roman"/>
          <w:sz w:val="18"/>
          <w:szCs w:val="18"/>
          <w:color w:val="auto"/>
        </w:rPr>
        <w:t>. As of the date hereof, there exist no claims or causes of action against any of the Prepetition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Trustees, any other Prepetition Secured Party, or any DIP Secured Party, in each case, solely in their capacity as such, with respect to, in connection with, related to, or arising from the Prepetition Documents and/or the DIP Documents that may be asserted by the Debtors or any other person or entity as of the Petition Date.</w:t>
      </w:r>
    </w:p>
    <w:p>
      <w:pPr>
        <w:spacing w:after="0" w:line="17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The Debtors forever and irrevocably release, discharge, and acquit each of the (a) Prepetition Secured Parties, (b)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or future Affiliates of the Prepetition Secured Parties, and (c) former, current, or future officers, employees, directors, agents, representatives, owners, members, partners, financial and other advisors and consultants, legal advisors, shareholders, managers, consultants, accountants, attorneys, and predecessors and successors in interest of each of the Prepetition Secured Parties and each of their respective Affiliates, in each case acting in such capacity (collectively, the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xml:space="preserve">”) of and from any and all “claims” (as defined in section 101(5) of the Bankruptcy Code), demands, liabilities, responsibilities, disputes, remedies, causes of action, indebtedness and obligations, rights, assertions, allegations, actions, suits, controversies, proceedings, losses, damages, injuries, attorneys’ fees, costs, expenses, or judgments of every type, whether known, unknown, asserted, unasserted, suspected, unsuspected, accrued, unaccrued, fixed, contingent, pending or threatened including, without limitation, all legal and equitable theories of recovery, arising under common law, statute or regulation or by contract, of every nature and description, that the Debtors may have, as of the date hereof, arising out of, in connection with, or relating to the DIP Facility, the DIP Documents, the Prepetition Documents and/or the transactions contemplated hereunder or thereunder including, without limitation, (x) any so-called “lender liability” or equitable subordination claims or defenses, (y) any and all claims and causes of action arising under the Bankruptcy Code, and (z) any and all claims and causes of action with respect to the validity, priority, extent, enforceability, perfection or avoidability of the liens or claims of any of the Prepetition Secured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the foregoing releases, Prepetition Secured Parties shall not include any Debtor. The Debtors further waive and release any defense, right of counterclaim, right of setoff or deduction to the payment of the Prepetition Secured Obligations which the Debtors now have or may claim to have against the Releasees (solely in their capacities as such) arising out of, connected with, or relating to any and all acts, omissions or events occurring prior to the entry of this Final Order by the Court relating to the Prepetition Documents and/or the transactions contemplated thereunder. Notwithstanding anything herein to the contrary, the foregoing releases shall not release any party for gross negligence, actual fraud or willful misconduct as determined in a final order by a court of competent jurisdiction.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ind w:left="840" w:hanging="184"/>
        <w:spacing w:after="0"/>
        <w:tabs>
          <w:tab w:leader="none" w:pos="8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9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Credit Available on More Favorable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have been and continue to be unable to obtain financing on more favorable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from sources other than the DIP Secured Parties under the DIP Documents and this Final Order. The Debtors are unable to obtain (a) unsecured credit allowable under section 503(b)(1) of the Bankruptcy Code as an administrative expense, (b) credit for money borrowed with priority over any or all administrative expenses of the kind specified in sections 503(b) or 507(b) of the Bankruptcy Code, or (c) credit for money borrowed secured by a lien on property of the estate that is not otherwise subject to a lien. The Debtors are also unable to obtain credit for borrowed money without granting the DIP Liens and the DIP Superpriority Claims to (or for the benefit of) the DIP Secured Parties.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7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Cash Collateral and Proceeds of the DIP Facility, DIP Collateral and Prepetition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providing the DIP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and the consent (or deemed consent) of the Prepetition Secured Parties to the use of Cash Collateral, all Cash Collateral and all proceeds of the DIP Loans shall be used and/or applied in accordance with the terms and conditions of this Final Order, the Approved Budget (subject to the Permitted Variances) and the other DIP Documents, for working capital and other general corporate purposes of the Debtors and the types of expenditures in the Approved Budget and for no other purpose.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2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Adequate Protection for the Prepetition Secured Parties</w:t>
      </w:r>
      <w:r>
        <w:rPr>
          <w:rFonts w:ascii="Times New Roman" w:cs="Times New Roman" w:eastAsia="Times New Roman" w:hAnsi="Times New Roman"/>
          <w:sz w:val="18"/>
          <w:szCs w:val="18"/>
          <w:color w:val="auto"/>
        </w:rPr>
        <w:t>. As adequate protection against the aggregate diminution in value, if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Prepetition Secured Parties’ respective liens and security interests in the applicable Prepetition Collateral (including Cash Collateral) from and after the Petition Date resulting from (i) the use, sale or lease by the Debtors of such collateral, (ii) the imposition of the automatic stay, and (iii) the subordination of their Prepetition Liens and Prepetition Secured Obligations to the Carve-Out (defined below) upon the terms set forth herein (collectively, and to the fullest extent permitted under the Bankruptcy Code or other applicable law, “</w:t>
      </w:r>
      <w:r>
        <w:rPr>
          <w:rFonts w:ascii="Times New Roman" w:cs="Times New Roman" w:eastAsia="Times New Roman" w:hAnsi="Times New Roman"/>
          <w:sz w:val="18"/>
          <w:szCs w:val="18"/>
          <w:b w:val="1"/>
          <w:bCs w:val="1"/>
          <w:i w:val="1"/>
          <w:iCs w:val="1"/>
          <w:color w:val="auto"/>
        </w:rPr>
        <w:t>Diminution in Value</w:t>
      </w:r>
      <w:r>
        <w:rPr>
          <w:rFonts w:ascii="Times New Roman" w:cs="Times New Roman" w:eastAsia="Times New Roman" w:hAnsi="Times New Roman"/>
          <w:sz w:val="18"/>
          <w:szCs w:val="18"/>
          <w:color w:val="auto"/>
        </w:rPr>
        <w:t xml:space="preserve">”), the Prepetition Secured Parties are entitled to adequate protection, pursuant to sections 361 and 363(e) of the Bankruptcy Code, as set forth in this Final Order and the other DIP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Final Order or the other DIP Documents shall (x) be construed as a consent or acknowledgement by any Prepetition Secured Party that it would be adequately protected in the event debtor-in-possession financing is provided by a third party (i.e., other than the DIP Lenders) or a consent to the terms of any other such financing, including the consent to any lien (other than a lien granted pursuant hereto) encumbering the Prepetition Collateral (whether senior or junior) or to the use of Cash Collateral (except under the terms hereof or the DIP Documents), or (y) prejudice, limit or otherwise impair the rights of the Prepetition Trustees (for the benefit of the Prepetition Secured Parties) to seek new, different or additional adequate protection under any circumstances, in each case, without prejudice to any objection of the Debtors, the Committee, or any other party in interest to the grant of any additional or alternative adequate protection and provided that any such additional or alternative adequate protection shall at all times be subordinate and junior to the Carve-Out.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4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552.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light of the use of the Prepetition Collateral (including Cash Collateral), the subordination of the Prepetition Liens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Protection Liens (as defined below) of the Prepetition Secured Parties to the Carve-Out, and the granting of the DIP Liens on the DIP Collateral, the Prepetition Secured Parties are entitled to all of the rights and benefits of section 552(b) of the Bankruptcy Code and the “equities of the case” exception shall not apply.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b w:val="1"/>
          <w:bCs w:val="1"/>
          <w:u w:val="single" w:color="auto"/>
          <w:color w:val="auto"/>
        </w:rPr>
        <w:t>Extension of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DIP Secured Parties have indicated a willingness to provide financing to the Debtors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DIP Credit Agreement and the other DIP Documents (including the Approved Budget) and subject to (i) the entry of this Final Order and (ii) findings by this Court that such financing is essential to the Debtors’ estates, that the DIP Secured Parties are good faith financiers, and that the reversal or modification on appeal of the authorization hereunder for the Debtors to incur the debt under the DIP Facility, or the grant hereunder of the priority of the DIP Liens and the Adequate Protection Liens, does not affect the validity of such debt, or any priority of any such lien so granted, to the extent provided in section 364(e) of the Bankruptcy Code.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 </w:t>
      </w:r>
      <w:r>
        <w:rPr>
          <w:rFonts w:ascii="Times New Roman" w:cs="Times New Roman" w:eastAsia="Times New Roman" w:hAnsi="Times New Roman"/>
          <w:sz w:val="18"/>
          <w:szCs w:val="18"/>
          <w:b w:val="1"/>
          <w:bCs w:val="1"/>
          <w:u w:val="single" w:color="auto"/>
          <w:color w:val="auto"/>
        </w:rPr>
        <w:t>Business Judgment and Good Faith Pursuant to Section 364(e).</w:t>
      </w:r>
    </w:p>
    <w:p>
      <w:pPr>
        <w:spacing w:after="0" w:line="229" w:lineRule="exact"/>
        <w:rPr>
          <w:sz w:val="20"/>
          <w:szCs w:val="20"/>
          <w:color w:val="auto"/>
        </w:rPr>
      </w:pPr>
    </w:p>
    <w:p>
      <w:pPr>
        <w:jc w:val="both"/>
        <w:ind w:firstLine="1304"/>
        <w:spacing w:after="0" w:line="261" w:lineRule="auto"/>
        <w:tabs>
          <w:tab w:leader="none" w:pos="15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credit under the DIP Facility, and the fees, expenses and other charges paid and to be paid thereunder are fair, reasonable, and the best available under the circumstances, and the Debtors’ agreement to the terms and conditions of the DIP Documents and to the payment of such fees reflect the Debtors’ exercise of prudent business judgment consistent with their fiduciary duties. Such terms and conditions are supported by reasonably equivalent value and consideration;</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Facility was negotiated in good faith and at arm’s length among the Debtors, the DIP Agent and the other DIP Secured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proceeds to be extended under the DIP Facility will be so extended in good faith and for valid business purposes and uses, as a consequence of which the DIP Secured Parties are entitled to the protection and benefits of section 364(e) of the Bankruptcy Code.</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90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Relief Essential; Best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relief requested in the Motion (and provided in this Final Order) is necessary, essential and appropriate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continued operation of the Debtors’ businesses and the management and preservation of the Debtors’ assets and property. It is in the best interest of the Debtors’ estates that the Debtors be allowed to enter into the DIP Facility, incur the DIP Obligations and that the Debtors use the Cash Collateral as contemplated herein.</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on the Motion of the Debtors and the record before this Court with respect to the Motion, including the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during the Interim Hearing and the Final Hearing, and with the consent of the Debtors, the DIP Secured Parties, and the Prepetition Secured Parties, and good and sufficient cause appearing therefor,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IT IS ORDERED </w:t>
      </w:r>
      <w:r>
        <w:rPr>
          <w:rFonts w:ascii="Times New Roman" w:cs="Times New Roman" w:eastAsia="Times New Roman" w:hAnsi="Times New Roman"/>
          <w:sz w:val="18"/>
          <w:szCs w:val="18"/>
          <w:color w:val="auto"/>
        </w:rPr>
        <w:t>that:</w:t>
      </w:r>
    </w:p>
    <w:p>
      <w:pPr>
        <w:spacing w:after="0" w:line="225" w:lineRule="exact"/>
        <w:rPr>
          <w:sz w:val="20"/>
          <w:szCs w:val="20"/>
          <w:color w:val="auto"/>
        </w:rPr>
      </w:pPr>
    </w:p>
    <w:p>
      <w:pPr>
        <w:jc w:val="both"/>
        <w:ind w:firstLine="1304"/>
        <w:spacing w:after="0" w:line="268" w:lineRule="auto"/>
        <w:tabs>
          <w:tab w:leader="none" w:pos="14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Motion Granted</w:t>
      </w:r>
      <w:r>
        <w:rPr>
          <w:rFonts w:ascii="Times New Roman" w:cs="Times New Roman" w:eastAsia="Times New Roman" w:hAnsi="Times New Roman"/>
          <w:sz w:val="18"/>
          <w:szCs w:val="18"/>
          <w:color w:val="auto"/>
        </w:rPr>
        <w:t>. The Motion is granted on a final basis in accordance with the terms and conditions set forth in this Final Order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DIP Documents. Any objections to the Motion with respect to entry of this Final Order, to the extent not withdrawn, waived or otherwise resolved, and all reservation of rights included therein, are hereby denied and overruled.</w:t>
      </w:r>
    </w:p>
    <w:p>
      <w:pPr>
        <w:spacing w:after="0" w:line="170"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DIP Facility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21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Entry into DIP Facility</w:t>
      </w:r>
      <w:r>
        <w:rPr>
          <w:rFonts w:ascii="Times New Roman" w:cs="Times New Roman" w:eastAsia="Times New Roman" w:hAnsi="Times New Roman"/>
          <w:sz w:val="18"/>
          <w:szCs w:val="18"/>
          <w:color w:val="auto"/>
        </w:rPr>
        <w:t>. Pursuant to the Interim Order, the Debtors were expressly and immediately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empowered to enter into the DIP Facility and to incur and to perform the DIP Obligations in accordance with and subject to the Interim Order and the other DIP Documents, to execute and/or deliver all DIP Documents and all other related instruments, certificates, agreements and documents, and to take all actions which may be reasonably required or otherwise necessary for the performance by the Debtors under the DIP Facility, including the creation and perfection of the DIP Liens described and provided for herein. Pursuant to the Second Interim Order, the Debtors were expressly and immediately authorized and empowered to enter into the First Amendment and to perform their obligations thereunder.</w:t>
      </w:r>
    </w:p>
    <w:p>
      <w:pPr>
        <w:spacing w:after="0" w:line="182"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DIP Obligations</w:t>
      </w:r>
      <w:r>
        <w:rPr>
          <w:rFonts w:ascii="Times New Roman" w:cs="Times New Roman" w:eastAsia="Times New Roman" w:hAnsi="Times New Roman"/>
          <w:sz w:val="18"/>
          <w:szCs w:val="18"/>
          <w:color w:val="auto"/>
        </w:rPr>
        <w:t>. Subject to the terms of this Final Order, the Debtors are hereby authorized and empowered to do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all acts and pay the principal, interest, fees (including the Backstop Fee (as defined in the DIP Credit Agreement)) and expenses, indemnities and other amounts described herein and in the other DIP Documents as such shall accrue and become due hereunder or thereunder, including, without limitation, the reasonable fees and expenses of the attorneys and financial and other advisors and consultants of the DIP Agent and the DIP Lenders as, and to the extent, provided for herein and in the other DIP Documents (collectively, all loans, advances, extensions of credit, financial accommodations, fees (including the Backstop Fee), expenses, and other liabilities and obligations (including indemnities and similar obligations) in respect of the DIP Loans, the</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DIP Facility and the DIP Documents, the “</w:t>
      </w:r>
      <w:r>
        <w:rPr>
          <w:rFonts w:ascii="Times New Roman" w:cs="Times New Roman" w:eastAsia="Times New Roman" w:hAnsi="Times New Roman"/>
          <w:sz w:val="18"/>
          <w:szCs w:val="18"/>
          <w:b w:val="1"/>
          <w:bCs w:val="1"/>
          <w:i w:val="1"/>
          <w:iCs w:val="1"/>
          <w:color w:val="auto"/>
        </w:rPr>
        <w:t>DIP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any invoices of the DIP Agent’s and the DIP Lenders’ professionals’ fees and expenses incurred after entry of the Interim Order shall be subject to the provisions of Paragraph 18(c) of this Final Order. The FBG DIP Documents and all FBG DIP Obligations shall represent, constitute and evidence, as the case may be, valid and binding obligations of the FBG DIP Loan Parties, enforceable against the FBG DIP Loan Parties, their estates and any successors thereto in accordance with their terms. The Twin DIP Documents and all Twin DIP Obligations shall represent, constitute and evidence, as the case may be, valid and binding obligations of the Twin DIP Loan Parties, enforceable against the Twin DIP Loan Parties, their estates and any successors thereto in accordance with their terms. No obligation, payment, transfer or grant of security under the DIP Documents as approved under the Interim Order, the Second Interim Order, or this Final Order shall be stayed, restrained, voided, voidable or recoverable under the Bankruptcy Code or under any applicable non-bankruptcy law, or subject to any defense, reduction, setoff, recoupment or counterclaim. The term of the DIP Facility commenced on the date of entry of the Interim Order and shall end on the Termination Date (as defined below), subject to the terms and conditions set forth herein and in the other DIP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83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hanging="332"/>
        <w:spacing w:after="0" w:line="197"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DIP Obligations under the FBG DIP Facility shall be referred to herein as the “</w:t>
      </w:r>
      <w:r>
        <w:rPr>
          <w:rFonts w:ascii="Times New Roman" w:cs="Times New Roman" w:eastAsia="Times New Roman" w:hAnsi="Times New Roman"/>
          <w:sz w:val="18"/>
          <w:szCs w:val="18"/>
          <w:b w:val="1"/>
          <w:bCs w:val="1"/>
          <w:i w:val="1"/>
          <w:iCs w:val="1"/>
          <w:color w:val="auto"/>
        </w:rPr>
        <w:t>FBG DIP Obligations</w:t>
      </w:r>
      <w:r>
        <w:rPr>
          <w:rFonts w:ascii="Times New Roman" w:cs="Times New Roman" w:eastAsia="Times New Roman" w:hAnsi="Times New Roman"/>
          <w:sz w:val="18"/>
          <w:szCs w:val="18"/>
          <w:color w:val="auto"/>
        </w:rPr>
        <w:t>” and the DIP Obligations under the Twin DIP Facility shall be referred to herein as the “</w:t>
      </w:r>
      <w:r>
        <w:rPr>
          <w:rFonts w:ascii="Times New Roman" w:cs="Times New Roman" w:eastAsia="Times New Roman" w:hAnsi="Times New Roman"/>
          <w:sz w:val="18"/>
          <w:szCs w:val="18"/>
          <w:b w:val="1"/>
          <w:bCs w:val="1"/>
          <w:i w:val="1"/>
          <w:iCs w:val="1"/>
          <w:color w:val="auto"/>
        </w:rPr>
        <w:t>Twin DIP Obligations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ind w:firstLine="1952"/>
        <w:spacing w:after="0" w:line="251" w:lineRule="auto"/>
        <w:tabs>
          <w:tab w:leader="none" w:pos="22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 to Borrow and Creation of Rolled-Up Loans</w:t>
      </w:r>
      <w:r>
        <w:rPr>
          <w:rFonts w:ascii="Times New Roman" w:cs="Times New Roman" w:eastAsia="Times New Roman" w:hAnsi="Times New Roman"/>
          <w:sz w:val="18"/>
          <w:szCs w:val="18"/>
          <w:color w:val="auto"/>
        </w:rPr>
        <w:t>. To continue to operate their business and preserve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the value of their estates, subject to the terms and conditions of this Final Order and the other DIP Documents (including the Approved Budget (subject to Permitted Variances)), (i) the FBG DIP Borrowers are hereby authorized to borrow (and the FBG DIP Guarantors are authorized to guarantee) the FBG DIP Loans and (ii) the Twin DIP Borrower is hereby authorized to borrow (and the Twin DIP Guarantors are authorized to guarantee) the Twin DIP Loans until the Termination Date (as defined below). For every dollar of FBG New Money DIP Loans that is borrowed, an additional three dollars of FBG Rolled-Up DIP Loans are hereby deemed to have been borrowed and used to repay, satisfy and cancel a commensurate amount of FBG Prepetition Notes. For every dollar of Twin New Money DIP Loans that is borrowed, an additional three dollars of Twin Senior Rolled-Up DIP Loans or Twin Junior Rolled-Up DIP Loans, as applicable, are hereby deemed to have been borrowed and used to repay, satisfy and cancel a commensurate amount of Twin Prepetition Notes. Following the Challenge Period Termination Date (as defined below), subject to any Successful Challenge (defined below) as set forth herein, (A) each issuer of Prepetition Notes that become FBG Rolled-Up DIP Loans, Twin Senior Rolled-Up Loans or Twin Junior Rolled-Up Loans (all such Prepetition Notes, collectively, “</w:t>
      </w:r>
      <w:r>
        <w:rPr>
          <w:rFonts w:ascii="Times New Roman" w:cs="Times New Roman" w:eastAsia="Times New Roman" w:hAnsi="Times New Roman"/>
          <w:sz w:val="18"/>
          <w:szCs w:val="18"/>
          <w:i w:val="1"/>
          <w:iCs w:val="1"/>
          <w:color w:val="auto"/>
        </w:rPr>
        <w:t>Rolled-Up Prepetition Notes</w:t>
      </w:r>
      <w:r>
        <w:rPr>
          <w:rFonts w:ascii="Times New Roman" w:cs="Times New Roman" w:eastAsia="Times New Roman" w:hAnsi="Times New Roman"/>
          <w:sz w:val="18"/>
          <w:szCs w:val="18"/>
          <w:color w:val="auto"/>
        </w:rPr>
        <w:t>”) shall provide to the applicable Prepetition Trustee a cancellation order and such other information and direction, in each case, reasonably requested by such Prepetition Trustee to enable the cancellation of such Rolled-Up Prepetition Notes through the applicable procedures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or otherwise and (B) each holder of Rolled-Up Prepetition Notes shall submit such Rolled-Up Prepetition Notes for cancellation in accordance with the applicable procedures of DTC;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if, prior to the Challenge Period Termination Date, there shall be a distribution to any holders of Prepetition Notes or if any holders of Prepetition Notes shall desire or be required to vote, consent, direct or otherwise take action with respect to the Prepetition Notes, the issuers and holders of such Prepetition Notes shall take such actions as are reasonably necessary to allow for such distribution, vote, consent, direction or other action to be made or taken in accordance with procedures and protocols of DTC or otherwise as reasonably requested by the applicable Prepetition Trustee. The borrowing of the Rolled-Up DIP Loans shall be deemed to occur upon the funding of each New Money DIP Loan notwithstanding that the formal cancellation of the related Prepetition Notes may not have been completed on such date. The Borrowers and the DIP Lenders shall coordinate to deliver written notice to the DIP Agent in accordance with the DIP Credit Agreement regarding the corresponding Roll-Up Loan Amounts deemed incurred by the DIP Lenders on each borrowing date, including the amount of Roll-Up Loan Amounts allocable to each DIP Lender. Each DIP Lender’s FBG Rolled-Up DIP Loans shall have DIP Superpriority Claims and DIP Liens solely against the Debtors that were obligors under the respective FBG Prepetition Notes that are rolled up. Each DIP Lender’s Twin Roll-Up DIP Loans shall have DIP Superpriority Claims and DIP Liens solely against the Debtors that were obligors under the Twin Prepetition Notes that are rolled up. For the avoidance of doubt, there shall be no FBG Rolled-Up DIP Loans or Twin Rolled-Up DIP Loans incurred or deemed incurred by the Managers.</w:t>
      </w:r>
    </w:p>
    <w:p>
      <w:pPr>
        <w:spacing w:after="0" w:line="20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FBG Segregated Account</w:t>
      </w:r>
      <w:r>
        <w:rPr>
          <w:rFonts w:ascii="Times New Roman" w:cs="Times New Roman" w:eastAsia="Times New Roman" w:hAnsi="Times New Roman"/>
          <w:sz w:val="18"/>
          <w:szCs w:val="18"/>
          <w:color w:val="auto"/>
        </w:rPr>
        <w:t>. All borrowings of the FBG DIP Facility shall be deposited into a segregated account of the FBG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DIP Borrowers (the “</w:t>
      </w:r>
      <w:r>
        <w:rPr>
          <w:rFonts w:ascii="Times New Roman" w:cs="Times New Roman" w:eastAsia="Times New Roman" w:hAnsi="Times New Roman"/>
          <w:sz w:val="18"/>
          <w:szCs w:val="18"/>
          <w:b w:val="1"/>
          <w:bCs w:val="1"/>
          <w:i w:val="1"/>
          <w:iCs w:val="1"/>
          <w:color w:val="auto"/>
        </w:rPr>
        <w:t>FBG Segregated Account</w:t>
      </w:r>
      <w:r>
        <w:rPr>
          <w:rFonts w:ascii="Times New Roman" w:cs="Times New Roman" w:eastAsia="Times New Roman" w:hAnsi="Times New Roman"/>
          <w:sz w:val="18"/>
          <w:szCs w:val="18"/>
          <w:color w:val="auto"/>
        </w:rPr>
        <w:t>”), which will be subject to the FBG DIP Liens on a first priority basis and subject to a Segregated Account Control Agreement in favor of the FBG DIP Agent. The terms of the Segregated Account Control Agreement for the FBG Segregated Account shall permit the FBG DIP Loan Parties to retain full control over the FBG Segregated Account subject to the DIP Documents, and any restrictions in favor of the FBG DIP Agent under such Segregated Account Control Agreement shall not take effect unless an Event of Default (as defined in the DIP Credit Agreement) has occurred or is occurring (subject to any applicable grace periods), subject to the Carve Out Amount being funded into the Escrow Account first. On each Borrowing Date, the FBG DIP Lenders will advance funds to the FBG DIP Agent and the FBG DIP Agent will in turn transfer such funds in accordance with the FBG DIP Borrowers’ notice of borrowing into the FBG Segregated Account. Funds in the FBG Segregated Account may be drawn by the FBG DIP Borrowers consistent with the Approved Budget (taking into account any Permitted Variances). Once withdrawn from the FBG Segregated Account, the funds shall continue to be FBG DIP Collateral (as defined below) until such funds are first used by the FBG DIP Loan Parties. For the avoidance of doubt, the FBG Segregated Account and all funds deposited therein shall be subject only to (i) the Carve-Out, (ii) the FBG DIP Liens, and</w:t>
      </w:r>
    </w:p>
    <w:p>
      <w:pPr>
        <w:spacing w:after="0" w:line="7" w:lineRule="exact"/>
        <w:rPr>
          <w:rFonts w:ascii="Times New Roman" w:cs="Times New Roman" w:eastAsia="Times New Roman" w:hAnsi="Times New Roman"/>
          <w:sz w:val="18"/>
          <w:szCs w:val="18"/>
          <w:color w:val="auto"/>
        </w:rPr>
      </w:pPr>
    </w:p>
    <w:p>
      <w:pPr>
        <w:ind w:firstLine="8"/>
        <w:spacing w:after="0" w:line="260"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FBG Adequate Protection Liens, and shall not be subject to any other liens, claims, or interests (including, without limitation, any claims, liens, or interests arising under or related to the Management Agreements).</w:t>
      </w:r>
    </w:p>
    <w:p>
      <w:pPr>
        <w:spacing w:after="0" w:line="17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Twin Segregated Account</w:t>
      </w:r>
      <w:r>
        <w:rPr>
          <w:rFonts w:ascii="Times New Roman" w:cs="Times New Roman" w:eastAsia="Times New Roman" w:hAnsi="Times New Roman"/>
          <w:sz w:val="18"/>
          <w:szCs w:val="18"/>
          <w:color w:val="auto"/>
        </w:rPr>
        <w:t>. All borrowings of the Twin DIP Facility shall be deposited into a segregated account of the Twin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DIP Borrower (the “</w:t>
      </w:r>
      <w:r>
        <w:rPr>
          <w:rFonts w:ascii="Times New Roman" w:cs="Times New Roman" w:eastAsia="Times New Roman" w:hAnsi="Times New Roman"/>
          <w:sz w:val="18"/>
          <w:szCs w:val="18"/>
          <w:b w:val="1"/>
          <w:bCs w:val="1"/>
          <w:i w:val="1"/>
          <w:iCs w:val="1"/>
          <w:color w:val="auto"/>
        </w:rPr>
        <w:t>Twin Segregated Account</w:t>
      </w:r>
      <w:r>
        <w:rPr>
          <w:rFonts w:ascii="Times New Roman" w:cs="Times New Roman" w:eastAsia="Times New Roman" w:hAnsi="Times New Roman"/>
          <w:sz w:val="18"/>
          <w:szCs w:val="18"/>
          <w:color w:val="auto"/>
        </w:rPr>
        <w:t>” and, together with the FBG Segregated Account, the “</w:t>
      </w:r>
      <w:r>
        <w:rPr>
          <w:rFonts w:ascii="Times New Roman" w:cs="Times New Roman" w:eastAsia="Times New Roman" w:hAnsi="Times New Roman"/>
          <w:sz w:val="18"/>
          <w:szCs w:val="18"/>
          <w:b w:val="1"/>
          <w:bCs w:val="1"/>
          <w:i w:val="1"/>
          <w:iCs w:val="1"/>
          <w:color w:val="auto"/>
        </w:rPr>
        <w:t>Segregated Accounts</w:t>
      </w:r>
      <w:r>
        <w:rPr>
          <w:rFonts w:ascii="Times New Roman" w:cs="Times New Roman" w:eastAsia="Times New Roman" w:hAnsi="Times New Roman"/>
          <w:sz w:val="18"/>
          <w:szCs w:val="18"/>
          <w:color w:val="auto"/>
        </w:rPr>
        <w:t>”), which will be subject to the Twin DIP Liens on a first priority basis and subject to a Segregated Account Control Agreement in favor of the Twin DIP Agent. The terms of the Segregated Account Control Agreement for the Twin Segregated Account shall permit the Twin DIP Loan Parties to retain full control over the Twin Segregated Account subject to the DIP Documents, and any restrictions in favor of the Twin DIP Agent under such Segregated Account Control Agreement shall not take effect unless an Event of Default has occurred or is occurring (subject to any applicable grace period), subject to the Carve Out Amount being funded into Escrow Account first. On each Borrowing Date, the Twin DIP Lenders will advance funds to the Twin DIP Agent and the Twin DIP Agent will in turn transfer such funds in accordance with the Twin Borrowers’ instructions in the notice of borrowing into the Twin Segregated Account. Funds in the Twin Segregated Account may be drawn by the Twin DIP Borrower consistent with the Approved Budget (taking into account any Permitted Variances). Once withdrawn from the Twin Segregated Account, the funds shall continue to be Twin DIP Collateral (as defined below) until such funds are first used by the Twin DIP Loan Parties. For the avoidance of doubt, the Twin Segregated Account and all funds deposited therein shall be subject only to (i) the Carve-Out, (ii) the Twin DIP Liens, and (iii) the Twin Adequate Protection Liens, and shall not be subject to any other liens, claims, or interests (including, without limitation, any claims, liens, or interests arising under or related to the Management Agreements).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left="-8" w:firstLine="1952"/>
        <w:spacing w:after="0" w:line="262" w:lineRule="auto"/>
        <w:tabs>
          <w:tab w:leader="none" w:pos="21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 The DIP Lenders shall have no obligation to make any extension of credit under the DIP Facility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financial accommodation hereunder or under the other DIP Documents unless all conditions precedent to making DIP Loans under the DIP Documents have been satisfied or waived in accordance with the terms of the DIP Documents, including, without limitation, the satisfaction or waiver of certain milestones set forth in the DIP Documents.</w:t>
      </w:r>
    </w:p>
    <w:p>
      <w:pPr>
        <w:spacing w:after="0" w:line="176" w:lineRule="exact"/>
        <w:rPr>
          <w:rFonts w:ascii="Times New Roman" w:cs="Times New Roman" w:eastAsia="Times New Roman" w:hAnsi="Times New Roman"/>
          <w:sz w:val="18"/>
          <w:szCs w:val="18"/>
          <w:color w:val="auto"/>
        </w:rPr>
      </w:pPr>
    </w:p>
    <w:p>
      <w:pPr>
        <w:jc w:val="both"/>
        <w:ind w:left="-8" w:firstLine="1952"/>
        <w:spacing w:after="0" w:line="252" w:lineRule="auto"/>
        <w:tabs>
          <w:tab w:leader="none" w:pos="22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FBG DIP Collateral</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i w:val="1"/>
          <w:iCs w:val="1"/>
          <w:color w:val="auto"/>
        </w:rPr>
        <w:t>FBG DIP Collateral</w:t>
      </w:r>
      <w:r>
        <w:rPr>
          <w:rFonts w:ascii="Times New Roman" w:cs="Times New Roman" w:eastAsia="Times New Roman" w:hAnsi="Times New Roman"/>
          <w:sz w:val="18"/>
          <w:szCs w:val="18"/>
          <w:color w:val="auto"/>
        </w:rPr>
        <w:t>” shall mean all now owned or hereafter acquired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in which the FBG DIP Loan Parties and their estates have an interest, whether real or personal, tangible or intangible, or otherwise, whenever acquired, including, without limitation, all FBG Prepetition Collateral, all assets and property pledged under the FBG DIP Documents, including the equity interests of each FBG DIP Borrower and FBG DIP Guarantor and their subsidiaries, any intercompany loans made and outstanding by the FBG DIP Loan Parties before or during the Chapter 11 Cases, any Management Fees, the Escrow Account Residual Balance (to the extent provided in Paragraph 8(c)), any Manager Advances, all cash, any investment of such cash, inventory, accounts receivable, including intercompany accounts receivable (and all rights associated therewith), other rights to payment whether arising before or after the Petition Date, contracts, contract rights, franchise agreements, product sourcing agreements, chattel paper, goods, investment property, inventory, deposit accounts (including the Collection Account and Concentration Account described in the DIP Documents and the FBG Segregated Account) and in each case all amounts on deposit therein from time to time, equity interests, securities accounts, securities entitlements, securities, commercial tort claims, books, records, plants, equipment, general intangibles, documents, instruments, interests in leases and leaseholds, interests in real property, fixtures, payment intangibles, tax or other refunds, insurance proceeds, letters of credit, letter of credit rights, supporting obligations, machinery and equipment, patents, copyrights, trademarks, tradenames, other intellectual property, all licenses therefor, and all proceeds, rents, profits, products and substitutions, if any,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herein to the contrary, the FBG DIP Collateral shall not include (i) the Escrow Account, (ii) any Excluded Assets (as defined in the DIP Documents), (iii) any causes of action for preferences, fraudulent conveyances, and other avoidance power claims under sections 502(d), 542, 544, 545, 547, 548, 549, 550, 551, 553(b), or 724(a) of the Bankruptcy Code or any other avoidance actions under the Bankruptcy Code or applicable state-law equivalents (the “</w:t>
      </w:r>
      <w:r>
        <w:rPr>
          <w:rFonts w:ascii="Times New Roman" w:cs="Times New Roman" w:eastAsia="Times New Roman" w:hAnsi="Times New Roman"/>
          <w:sz w:val="18"/>
          <w:szCs w:val="18"/>
          <w:b w:val="1"/>
          <w:bCs w:val="1"/>
          <w:i w:val="1"/>
          <w:iCs w:val="1"/>
          <w:color w:val="auto"/>
        </w:rPr>
        <w:t>Avoidance Actions</w:t>
      </w:r>
      <w:r>
        <w:rPr>
          <w:rFonts w:ascii="Times New Roman" w:cs="Times New Roman" w:eastAsia="Times New Roman" w:hAnsi="Times New Roman"/>
          <w:sz w:val="18"/>
          <w:szCs w:val="18"/>
          <w:color w:val="auto"/>
        </w:rPr>
        <w:t>”) belonging to the FBG DIP Loan Parties, but shall include the proceeds of Avoidance Actions (the “</w:t>
      </w:r>
      <w:r>
        <w:rPr>
          <w:rFonts w:ascii="Times New Roman" w:cs="Times New Roman" w:eastAsia="Times New Roman" w:hAnsi="Times New Roman"/>
          <w:sz w:val="18"/>
          <w:szCs w:val="18"/>
          <w:b w:val="1"/>
          <w:bCs w:val="1"/>
          <w:i w:val="1"/>
          <w:iCs w:val="1"/>
          <w:color w:val="auto"/>
        </w:rPr>
        <w:t>Avoidance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Action Proceeds</w:t>
      </w:r>
      <w:r>
        <w:rPr>
          <w:rFonts w:ascii="Times New Roman" w:cs="Times New Roman" w:eastAsia="Times New Roman" w:hAnsi="Times New Roman"/>
          <w:sz w:val="18"/>
          <w:szCs w:val="18"/>
          <w:color w:val="auto"/>
        </w:rPr>
        <w:t>”) belonging to the FBG DIP Loan Parties and (iv) the FBG DIP Loan Parties’ non-residential real property leases (except to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such non-residential real property leases constitutes Prepetition Collateral);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Adequate Protection Collateral shall include the proceeds of such leases.</w:t>
      </w:r>
    </w:p>
    <w:p>
      <w:pPr>
        <w:spacing w:after="0" w:line="189" w:lineRule="exact"/>
        <w:rPr>
          <w:rFonts w:ascii="Times New Roman" w:cs="Times New Roman" w:eastAsia="Times New Roman" w:hAnsi="Times New Roman"/>
          <w:sz w:val="18"/>
          <w:szCs w:val="18"/>
          <w:color w:val="auto"/>
        </w:rPr>
      </w:pPr>
    </w:p>
    <w:p>
      <w:pPr>
        <w:jc w:val="both"/>
        <w:ind w:left="-8" w:firstLine="1952"/>
        <w:spacing w:after="0" w:line="254" w:lineRule="auto"/>
        <w:tabs>
          <w:tab w:leader="none" w:pos="22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Twin DIP Collateral</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i w:val="1"/>
          <w:iCs w:val="1"/>
          <w:color w:val="auto"/>
        </w:rPr>
        <w:t>Twin DIP Collateral</w:t>
      </w:r>
      <w:r>
        <w:rPr>
          <w:rFonts w:ascii="Times New Roman" w:cs="Times New Roman" w:eastAsia="Times New Roman" w:hAnsi="Times New Roman"/>
          <w:sz w:val="18"/>
          <w:szCs w:val="18"/>
          <w:color w:val="auto"/>
        </w:rPr>
        <w:t>” shall mean all now owned or hereafter acquired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in which the Twin DIP Loan Parties and their estates have an interest, whether real or personal, tangible or intangible, or otherwise, whenever acquired, including, without limitation, all Twin Prepetition Collateral, all assets and property pledged under the Twin DIP Documents, including the equity interests of the Twin DIP Borrower and each Twin DIP Guarantor and their subsidiaries, any intercompany loans made and outstanding by the Twin DIP Loan Parties before or during the Chapter 11 Cases, any Management Fees, the Escrow Account Residual Balance (to the extent provided in Paragraph 8(c)), any Manager Advances, all cash, any investment of such cash, inventory, accounts receivable, including intercompany accounts receivable (and all rights associated therewith), other rights to payment whether arising before or after the Petition Date, contracts, contract rights, franchise agreements, product sourcing agreements, chattel paper, goods, investment property, inventory, deposit accounts (including the Collection Account and Concentration Account described in the DIP Documents and the Twin Segregated Account) and in each case all amounts on deposit therein from time to time, equity interests, securities accounts, securities entitlements, securities, commercial tort claims, books, records, plants, equipment, general intangibles, documents, instruments, interests in leases and leaseholds, interests in real property, fixtures, payment intangibles, tax or other refunds, insurance proceeds, letters of credit, letter of credit rights, supporting obligations, machinery and equipment, patents, copyrights, trademarks, tradenames, other intellectual property, all licenses therefor, and all proceeds, rents, profits, products and substitutions, if any,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herein to the contrary, the Twin DIP Collateral shall not include (i) the Escrow Account, (ii) any Excluded Assets (as defined in the DIP Documents), (iii) any Avoidance Actions belonging to the Twin DIP Loan Parties, but shall include Avoidance Action Proceeds belonging to the Twin DIP Loan Parties and (iv) the Twin DIP Loan Parties’ non-residential real property leases (except to the extent such non-residential real property leases constitutes Prepetition Collateral);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Adequate Protection Collateral shall include the proceeds of such leases.</w:t>
      </w:r>
      <w:r>
        <w:rPr>
          <w:rFonts w:ascii="Times New Roman" w:cs="Times New Roman" w:eastAsia="Times New Roman" w:hAnsi="Times New Roman"/>
          <w:sz w:val="29"/>
          <w:szCs w:val="29"/>
          <w:color w:val="auto"/>
          <w:vertAlign w:val="superscript"/>
        </w:rPr>
        <w:t>10</w:t>
      </w:r>
    </w:p>
    <w:p>
      <w:pPr>
        <w:spacing w:after="0" w:line="70" w:lineRule="exact"/>
        <w:rPr>
          <w:rFonts w:ascii="Times New Roman" w:cs="Times New Roman" w:eastAsia="Times New Roman" w:hAnsi="Times New Roman"/>
          <w:sz w:val="18"/>
          <w:szCs w:val="18"/>
          <w:color w:val="auto"/>
        </w:rPr>
      </w:pPr>
    </w:p>
    <w:p>
      <w:pPr>
        <w:jc w:val="both"/>
        <w:ind w:left="-8" w:firstLine="1952"/>
        <w:spacing w:after="0" w:line="257" w:lineRule="auto"/>
        <w:tabs>
          <w:tab w:leader="none" w:pos="21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FBG DIP Liens</w:t>
      </w:r>
      <w:r>
        <w:rPr>
          <w:rFonts w:ascii="Times New Roman" w:cs="Times New Roman" w:eastAsia="Times New Roman" w:hAnsi="Times New Roman"/>
          <w:sz w:val="18"/>
          <w:szCs w:val="18"/>
          <w:color w:val="auto"/>
        </w:rPr>
        <w:t>. Effective immediately upon the entry of the Interim Order, the FBG DIP Agent for the ratable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FBG DIP Secured Parties was granted the following security interests and liens, which were immediately valid, binding, perfected, continuing, enforceable and non-avoidable without the necessity of the execution, recordation or filing by any party of any security agreements, control agreements, pledge agreements, financing statements, mortgages or other similar documents, or the possession or control by any FBG Prepetition Trustee of any FBG DIP Collateral (all liens and security interests granted to the FBG DIP Agent for the benefit of the FBG DIP Secured Parties pursuant to the Interim Order, the Second Interim Order, this Final Order and the other FBG DIP Documents, the “</w:t>
      </w:r>
      <w:r>
        <w:rPr>
          <w:rFonts w:ascii="Times New Roman" w:cs="Times New Roman" w:eastAsia="Times New Roman" w:hAnsi="Times New Roman"/>
          <w:sz w:val="18"/>
          <w:szCs w:val="18"/>
          <w:b w:val="1"/>
          <w:bCs w:val="1"/>
          <w:i w:val="1"/>
          <w:iCs w:val="1"/>
          <w:color w:val="auto"/>
        </w:rPr>
        <w:t>FBG DIP Liens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1783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7" w:lineRule="exact"/>
        <w:rPr>
          <w:sz w:val="20"/>
          <w:szCs w:val="20"/>
          <w:color w:val="auto"/>
        </w:rPr>
      </w:pPr>
    </w:p>
    <w:p>
      <w:pPr>
        <w:ind w:left="5532" w:right="2660" w:hanging="5532"/>
        <w:spacing w:after="0" w:line="377" w:lineRule="auto"/>
        <w:tabs>
          <w:tab w:leader="none" w:pos="33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FBG DIP Collateral and the Twin DIP Collateral shall, together, be referred to herein as the “</w:t>
      </w:r>
      <w:r>
        <w:rPr>
          <w:rFonts w:ascii="Times New Roman" w:cs="Times New Roman" w:eastAsia="Times New Roman" w:hAnsi="Times New Roman"/>
          <w:sz w:val="18"/>
          <w:szCs w:val="18"/>
          <w:b w:val="1"/>
          <w:bCs w:val="1"/>
          <w:i w:val="1"/>
          <w:iCs w:val="1"/>
          <w:color w:val="auto"/>
        </w:rPr>
        <w:t>DIP Collateral</w:t>
      </w: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38" w:name="page39"/>
    <w:bookmarkEnd w:id="38"/>
    <w:p>
      <w:pPr>
        <w:jc w:val="both"/>
        <w:ind w:left="980" w:firstLine="1296"/>
        <w:spacing w:after="0" w:line="253" w:lineRule="auto"/>
        <w:tabs>
          <w:tab w:leader="none" w:pos="2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Priority Liens on Unencumbered Property</w:t>
      </w:r>
      <w:r>
        <w:rPr>
          <w:rFonts w:ascii="Times New Roman" w:cs="Times New Roman" w:eastAsia="Times New Roman" w:hAnsi="Times New Roman"/>
          <w:sz w:val="18"/>
          <w:szCs w:val="18"/>
          <w:color w:val="auto"/>
        </w:rPr>
        <w:t>. Pursuant to section 364(c)(2) of the Bankruptcy Code,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enforceable, perfected and non-avoidable first priority liens on and security interests in all FBG DIP Collateral that was not encumbered by the FBG Prepetition Liens, including the FBG Segregated Account, the Escrow Account Residual Balance (to the extent provided in Paragraph 8(c)), all proceeds of the DIP Facility and Avoidance Action Proceeds (collectively, the “</w:t>
      </w:r>
      <w:r>
        <w:rPr>
          <w:rFonts w:ascii="Times New Roman" w:cs="Times New Roman" w:eastAsia="Times New Roman" w:hAnsi="Times New Roman"/>
          <w:sz w:val="18"/>
          <w:szCs w:val="18"/>
          <w:b w:val="1"/>
          <w:bCs w:val="1"/>
          <w:i w:val="1"/>
          <w:iCs w:val="1"/>
          <w:color w:val="auto"/>
        </w:rPr>
        <w:t>FBG Unencumbered Property</w:t>
      </w:r>
      <w:r>
        <w:rPr>
          <w:rFonts w:ascii="Times New Roman" w:cs="Times New Roman" w:eastAsia="Times New Roman" w:hAnsi="Times New Roman"/>
          <w:sz w:val="18"/>
          <w:szCs w:val="18"/>
          <w:color w:val="auto"/>
        </w:rPr>
        <w:t>”), which FBG DIP Liens shall be subject and subordinate only to (1) the Carve-Out, (2) liens or security interests solely to the extent any such liens and security interests were valid, non-avoidable, and properly perfected as of the Petition Date (or were in existence immediately prior to the Petition Date and are properly perfected subsequent to the Petition Date as permitted by section 546(b) of the Bankruptcy Code) and were</w:t>
      </w:r>
    </w:p>
    <w:p>
      <w:pPr>
        <w:spacing w:after="0" w:line="5" w:lineRule="exact"/>
        <w:rPr>
          <w:sz w:val="20"/>
          <w:szCs w:val="20"/>
          <w:color w:val="auto"/>
        </w:rPr>
      </w:pPr>
    </w:p>
    <w:p>
      <w:pPr>
        <w:ind w:left="980"/>
        <w:spacing w:after="0" w:line="209" w:lineRule="auto"/>
        <w:rPr>
          <w:sz w:val="20"/>
          <w:szCs w:val="20"/>
          <w:color w:val="auto"/>
        </w:rPr>
      </w:pPr>
      <w:r>
        <w:rPr>
          <w:rFonts w:ascii="Times New Roman" w:cs="Times New Roman" w:eastAsia="Times New Roman" w:hAnsi="Times New Roman"/>
          <w:sz w:val="18"/>
          <w:szCs w:val="18"/>
          <w:color w:val="auto"/>
        </w:rPr>
        <w:t>senior to any applicable Prepetition Liens (collectively, “</w:t>
      </w:r>
      <w:r>
        <w:rPr>
          <w:rFonts w:ascii="Times New Roman" w:cs="Times New Roman" w:eastAsia="Times New Roman" w:hAnsi="Times New Roman"/>
          <w:sz w:val="18"/>
          <w:szCs w:val="18"/>
          <w:b w:val="1"/>
          <w:bCs w:val="1"/>
          <w:i w:val="1"/>
          <w:iCs w:val="1"/>
          <w:color w:val="auto"/>
        </w:rPr>
        <w:t>Permitted Prior Liens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and (3) the Intercompany Liens (as defined below);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DIP Liens shall have first priority with respect to the proceeds or recovery on account of any Manager Advances; and</w:t>
      </w:r>
    </w:p>
    <w:p>
      <w:pPr>
        <w:spacing w:after="0" w:line="198" w:lineRule="exact"/>
        <w:rPr>
          <w:sz w:val="20"/>
          <w:szCs w:val="20"/>
          <w:color w:val="auto"/>
        </w:rPr>
      </w:pPr>
    </w:p>
    <w:p>
      <w:pPr>
        <w:jc w:val="both"/>
        <w:ind w:left="980" w:firstLine="1295"/>
        <w:spacing w:after="0" w:line="258" w:lineRule="auto"/>
        <w:tabs>
          <w:tab w:leader="none" w:pos="2541"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 on Prepetition Collateral</w:t>
      </w:r>
      <w:r>
        <w:rPr>
          <w:rFonts w:ascii="Times New Roman" w:cs="Times New Roman" w:eastAsia="Times New Roman" w:hAnsi="Times New Roman"/>
          <w:sz w:val="18"/>
          <w:szCs w:val="18"/>
          <w:color w:val="auto"/>
        </w:rPr>
        <w:t>. Pursuant to sections 364(c)(3) and 364(d) of the Bankruptcy Code, valid, enforceable,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perfected and non-avoidable liens on and security interests in all FBG DIP Collateral (other than FBG Unencumbered Property), which FBG DIP Liens (A) shall be subject and subordinate only to (1) the Carve-Out, (2) the Permitted Prior Liens, and (3) the Intercompany Liens, and</w:t>
      </w:r>
    </w:p>
    <w:p>
      <w:pPr>
        <w:jc w:val="both"/>
        <w:ind w:left="980" w:hanging="1"/>
        <w:spacing w:after="0" w:line="253" w:lineRule="auto"/>
        <w:tabs>
          <w:tab w:leader="none" w:pos="1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senior and priming to the FBG Prepetition Liens, any liens junior to the FBG Prepetition Liens, the FBG Adequate Protection Liens, and any other prepetition or postpetition liens or other interests of any kind of any other person or entity with respect to the FBG DIP Collateral, whether created voluntarily or involuntarily (including by order of a court), in each case, other than the Carve-Out, Permitted Prior Liens and Intercompany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any Manager Advances.</w:t>
      </w:r>
    </w:p>
    <w:p>
      <w:pPr>
        <w:spacing w:after="0" w:line="182"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Twin DIP Liens</w:t>
      </w:r>
      <w:r>
        <w:rPr>
          <w:rFonts w:ascii="Times New Roman" w:cs="Times New Roman" w:eastAsia="Times New Roman" w:hAnsi="Times New Roman"/>
          <w:sz w:val="18"/>
          <w:szCs w:val="18"/>
          <w:color w:val="auto"/>
        </w:rPr>
        <w:t>. Effective immediately upon the entry of the Interim Order, the Twin DIP Agent for the ratable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Twin DIP Secured Parties was granted the following security interests and liens, which were immediately valid, binding, perfected, continuing, enforceable and non-avoidable without the necessity of the execution, recordation or filing by any party of any security agreements, control agreements, pledge agreements, financing statements, mortgages or other similar documents, or the possession or control by the Twin Prepetition Trustee of any Twin DIP Collateral (all liens and security interests granted to the Twin DIP Agent for the benefit of the Twin DIP Secured Parties pursuant to the Interim Order, the Second Interim Order, this Final Order and the other Twin DIP Documents, the “</w:t>
      </w:r>
      <w:r>
        <w:rPr>
          <w:rFonts w:ascii="Times New Roman" w:cs="Times New Roman" w:eastAsia="Times New Roman" w:hAnsi="Times New Roman"/>
          <w:sz w:val="18"/>
          <w:szCs w:val="18"/>
          <w:b w:val="1"/>
          <w:bCs w:val="1"/>
          <w:i w:val="1"/>
          <w:iCs w:val="1"/>
          <w:color w:val="auto"/>
        </w:rPr>
        <w:t>Twin DIP Liens</w:t>
      </w:r>
      <w:r>
        <w:rPr>
          <w:rFonts w:ascii="Times New Roman" w:cs="Times New Roman" w:eastAsia="Times New Roman" w:hAnsi="Times New Roman"/>
          <w:sz w:val="18"/>
          <w:szCs w:val="18"/>
          <w:color w:val="auto"/>
        </w:rPr>
        <w:t>” and, together with the FBG DIP Liens, the “</w:t>
      </w:r>
      <w:r>
        <w:rPr>
          <w:rFonts w:ascii="Times New Roman" w:cs="Times New Roman" w:eastAsia="Times New Roman" w:hAnsi="Times New Roman"/>
          <w:sz w:val="18"/>
          <w:szCs w:val="18"/>
          <w:b w:val="1"/>
          <w:bCs w:val="1"/>
          <w:i w:val="1"/>
          <w:iCs w:val="1"/>
          <w:color w:val="auto"/>
        </w:rPr>
        <w:t>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980" w:firstLine="1296"/>
        <w:spacing w:after="0" w:line="257" w:lineRule="auto"/>
        <w:tabs>
          <w:tab w:leader="none" w:pos="254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Priority Liens on Unencumbered Property</w:t>
      </w:r>
      <w:r>
        <w:rPr>
          <w:rFonts w:ascii="Times New Roman" w:cs="Times New Roman" w:eastAsia="Times New Roman" w:hAnsi="Times New Roman"/>
          <w:sz w:val="18"/>
          <w:szCs w:val="18"/>
          <w:color w:val="auto"/>
        </w:rPr>
        <w:t>. Pursuant to section 364(c)(2) of the Bankruptcy Code,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enforceable, perfected and non-avoidable first priority liens on and security interests in all Twin DIP Collateral that was not encumbered by the Twin Prepetition Liens, including the Twin Segregated Account, the Escrow Account Residual Balance (to the extent provided in Paragraph 8(c)), all proceeds of the DIP Facility and Avoidance Action Proceeds (collectively, the “</w:t>
      </w:r>
      <w:r>
        <w:rPr>
          <w:rFonts w:ascii="Times New Roman" w:cs="Times New Roman" w:eastAsia="Times New Roman" w:hAnsi="Times New Roman"/>
          <w:sz w:val="18"/>
          <w:szCs w:val="18"/>
          <w:b w:val="1"/>
          <w:bCs w:val="1"/>
          <w:i w:val="1"/>
          <w:iCs w:val="1"/>
          <w:color w:val="auto"/>
        </w:rPr>
        <w:t>Twin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Unencumbered Property”),</w:t>
      </w:r>
      <w:r>
        <w:rPr>
          <w:rFonts w:ascii="Times New Roman" w:cs="Times New Roman" w:eastAsia="Times New Roman" w:hAnsi="Times New Roman"/>
          <w:sz w:val="18"/>
          <w:szCs w:val="18"/>
          <w:color w:val="auto"/>
        </w:rPr>
        <w:t xml:space="preserve"> which Twin DIP Liens shall be subject and subordinate only to (1) the Carve-Out, (2) the Permitted Prior Liens, and (3) the Intercompany Liens;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DIP Liens shall have first priority with respect to the proceeds or recovery on account of Manager Advances; and</w:t>
      </w:r>
    </w:p>
    <w:p>
      <w:pPr>
        <w:spacing w:after="0" w:line="182" w:lineRule="exact"/>
        <w:rPr>
          <w:rFonts w:ascii="Times New Roman" w:cs="Times New Roman" w:eastAsia="Times New Roman" w:hAnsi="Times New Roman"/>
          <w:sz w:val="18"/>
          <w:szCs w:val="18"/>
          <w:color w:val="auto"/>
        </w:rPr>
      </w:pPr>
    </w:p>
    <w:p>
      <w:pPr>
        <w:jc w:val="both"/>
        <w:ind w:left="980" w:firstLine="1296"/>
        <w:spacing w:after="0" w:line="255" w:lineRule="auto"/>
        <w:tabs>
          <w:tab w:leader="none" w:pos="2541"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 on Prepetition Collateral</w:t>
      </w:r>
      <w:r>
        <w:rPr>
          <w:rFonts w:ascii="Times New Roman" w:cs="Times New Roman" w:eastAsia="Times New Roman" w:hAnsi="Times New Roman"/>
          <w:sz w:val="18"/>
          <w:szCs w:val="18"/>
          <w:color w:val="auto"/>
        </w:rPr>
        <w:t>. Pursuant to sections 364(c)(3) and 364(d) of the Bankruptcy Code, valid, enforceable,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perfected and non-avoidable liens on and security interests in all Twin DIP Collateral (other than Twin Unencumbered Property), which Twin DIP Liens (A) shall be subject and subordinate to (1) the Carve-Out, (2) Permitted Prior Liens, and (3) the Intercompany Liens, and (B) shall be senior and priming to the Twin Prepetition Liens, any liens junior to the Twin Prepetition Liens, the Twin Adequate Protection Liens, and any other prepetition or postpetition liens or other interests of any kind of any other person or entity with respect to the Twin DIP Collateral, whether created voluntarily or involuntarily (including by order of a court), in each case, other than the Carve-Out, Permitted Prior Liens and Intercompany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Manager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0"/>
          <w:szCs w:val="20"/>
          <w:color w:val="auto"/>
        </w:rPr>
      </w:pPr>
    </w:p>
    <w:p>
      <w:pPr>
        <w:jc w:val="both"/>
        <w:ind w:left="340" w:hanging="332"/>
        <w:spacing w:after="0" w:line="219" w:lineRule="auto"/>
        <w:tabs>
          <w:tab w:leader="none" w:pos="34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Permitted Prior Liens shall include (x) any liens securing any Manager Advances or claims related thereto and (y) any liens on FBG Manager’s equity interests in Twin Manager, in each case solely to the extent that such liens were valid, non-avoidable, and properly perfected as of the Petition Date (or were in existence immediately prior to the Petition Date and are properly perfected subsequent to the Petition Date as permitted by section 546(b) of the Bankruptcy Code) and were senior to any applicable Prepetition Liens.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jc w:val="both"/>
        <w:ind w:firstLine="1952"/>
        <w:spacing w:after="0" w:line="253" w:lineRule="auto"/>
        <w:tabs>
          <w:tab w:leader="none" w:pos="22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Provisions Relating to the DIP Liens</w:t>
      </w:r>
      <w:r>
        <w:rPr>
          <w:rFonts w:ascii="Times New Roman" w:cs="Times New Roman" w:eastAsia="Times New Roman" w:hAnsi="Times New Roman"/>
          <w:sz w:val="18"/>
          <w:szCs w:val="18"/>
          <w:color w:val="auto"/>
        </w:rPr>
        <w:t>. The FBG DIP Liens shall secure all of the FBG DIP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each DIP Lender’s FBG Rolled-Up DIP Loans shall have liens solely against the Debtors that were obligors under the FBG Prepetition Notes that are rolled up. The FBG DIP Liens shall not, without the prior written consent of the Required FBG DIP Lenders, be made subject to, subordinate to, or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any other lien or security interest, other than to the extent expressly provided herein, by any Court order heretofore or hereafter entered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Chapter 11 Cases. The Twin DIP Liens shall secure all of the Twin DIP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DIP Lender’s Twin Rolled-Up DIP Loans shall have liens solely against the Debtors that were obligors under the Twin Prepetition Notes that are rolled up. The Twin DIP Liens shall not, without the prior written consent of the Required Twin DIP Lenders, be made subject to, subordinate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other lien or security interest, other than to the extent expressly provided herein, by any Court order heretofore or hereafter entered in the Chapter 11 Cases. The DIP Liens shall be valid and enforceable against any trustee appointed in the Chapter 11 Cases, upon the conversion of any of the Chapter 11 Cases to a case under Chapter 7 of the Bankruptcy Code or in any other proceedings related to any of the foregoing (such cases or proceedings, “</w:t>
      </w:r>
      <w:r>
        <w:rPr>
          <w:rFonts w:ascii="Times New Roman" w:cs="Times New Roman" w:eastAsia="Times New Roman" w:hAnsi="Times New Roman"/>
          <w:sz w:val="18"/>
          <w:szCs w:val="18"/>
          <w:b w:val="1"/>
          <w:bCs w:val="1"/>
          <w:i w:val="1"/>
          <w:iCs w:val="1"/>
          <w:color w:val="auto"/>
        </w:rPr>
        <w:t>Successor Cases</w:t>
      </w:r>
      <w:r>
        <w:rPr>
          <w:rFonts w:ascii="Times New Roman" w:cs="Times New Roman" w:eastAsia="Times New Roman" w:hAnsi="Times New Roman"/>
          <w:sz w:val="18"/>
          <w:szCs w:val="18"/>
          <w:color w:val="auto"/>
        </w:rPr>
        <w:t xml:space="preserve">”), and/or upon the dismissal of any of the Chapter 11 Cases. The DIP Liens and the Adequate Protection Liens shall not be subject to sections 510, 549, 550 or 551 of the Bankruptcy Code or the “equities of the case” exception of section 552 of the Bankruptcy Code or section 506(c) of the Bankruptcy Code. If the granting of the DIP Liens against any of the DIP Collateral is in any way prohibited or restricted under any of the Debtors’ organizational documents, such organizational documents are hereby modified solely to permit the granting of the DIP Liens. The DIP Liens and Adequate Protection Liens shall be subject to the priorities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Superpriority Administrative Claims Status</w:t>
      </w:r>
      <w:r>
        <w:rPr>
          <w:rFonts w:ascii="Times New Roman" w:cs="Times New Roman" w:eastAsia="Times New Roman" w:hAnsi="Times New Roman"/>
          <w:sz w:val="18"/>
          <w:szCs w:val="18"/>
          <w:color w:val="auto"/>
        </w:rPr>
        <w:t>. The FBG DIP Obligations shall, pursuant to section 364(c)(1)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at all times constitute joint and several allowed superpriority claims (the “</w:t>
      </w:r>
      <w:r>
        <w:rPr>
          <w:rFonts w:ascii="Times New Roman" w:cs="Times New Roman" w:eastAsia="Times New Roman" w:hAnsi="Times New Roman"/>
          <w:sz w:val="18"/>
          <w:szCs w:val="18"/>
          <w:b w:val="1"/>
          <w:bCs w:val="1"/>
          <w:i w:val="1"/>
          <w:iCs w:val="1"/>
          <w:color w:val="auto"/>
        </w:rPr>
        <w:t>FBG DIP Superpriority Claims</w:t>
      </w:r>
      <w:r>
        <w:rPr>
          <w:rFonts w:ascii="Times New Roman" w:cs="Times New Roman" w:eastAsia="Times New Roman" w:hAnsi="Times New Roman"/>
          <w:sz w:val="18"/>
          <w:szCs w:val="18"/>
          <w:color w:val="auto"/>
        </w:rPr>
        <w:t>”) of the FBG DIP Agent, for the benefit of the FBG DIP Secured Parties, against each of the FBG DIP Loan Parties on a joint and several basis, and shall be payable from and have recourse to all FBG DIP Collateral. The Twin DIP Obligations shall, pursuant to section 364(c)(1) of the Bankruptcy Code, at all times constitute joint and several allowed superpriority claims (the “</w:t>
      </w:r>
      <w:r>
        <w:rPr>
          <w:rFonts w:ascii="Times New Roman" w:cs="Times New Roman" w:eastAsia="Times New Roman" w:hAnsi="Times New Roman"/>
          <w:sz w:val="18"/>
          <w:szCs w:val="18"/>
          <w:b w:val="1"/>
          <w:bCs w:val="1"/>
          <w:i w:val="1"/>
          <w:iCs w:val="1"/>
          <w:color w:val="auto"/>
        </w:rPr>
        <w:t>Twin DIP Superpriority Claims</w:t>
      </w:r>
      <w:r>
        <w:rPr>
          <w:rFonts w:ascii="Times New Roman" w:cs="Times New Roman" w:eastAsia="Times New Roman" w:hAnsi="Times New Roman"/>
          <w:sz w:val="18"/>
          <w:szCs w:val="18"/>
          <w:color w:val="auto"/>
        </w:rPr>
        <w:t>” and, together with the FBG DIP Superpriority Claims, the “</w:t>
      </w:r>
      <w:r>
        <w:rPr>
          <w:rFonts w:ascii="Times New Roman" w:cs="Times New Roman" w:eastAsia="Times New Roman" w:hAnsi="Times New Roman"/>
          <w:sz w:val="18"/>
          <w:szCs w:val="18"/>
          <w:b w:val="1"/>
          <w:bCs w:val="1"/>
          <w:i w:val="1"/>
          <w:iCs w:val="1"/>
          <w:color w:val="auto"/>
        </w:rPr>
        <w:t>DIP Superpriority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of the Twin DIP Agent, for the benefit of the Twin DIP Secured Parties, against each of the Twin DIP Loan Parties on a joint and several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shall be payable from and have recourse to all Twin DIP Collateral. The DIP Superpriority Claims shall be subject and subordinate to the payment of the Carve-Out in full in cash, as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Other than as expressly provided herein, including in Paragraph 8 hereof with respect to the Carve-Out, no costs or expenses of administration with respect to the Debtors, including, without limitation, professional fees allowed and payable under sections 328, 330 and 331 of the Bankruptcy Code, or otherwise, that have been or may be incurred in these proceedings or in any Successor Cases, and no priority claims are, or will be, senior to, prior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DIP Liens, the DIP Superpriority Claims or any of the DIP Obligations, or with any other claims of the DIP Secured Parties arising hereunder or under the other DIP Documents, or otherwise in connection with the DIP Facility.</w:t>
      </w:r>
    </w:p>
    <w:p>
      <w:pPr>
        <w:spacing w:after="0" w:line="18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 and Approval to Use Cash Collateral and Proceeds of DIP Facility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firstLine="1296"/>
        <w:spacing w:after="0" w:line="253" w:lineRule="auto"/>
        <w:tabs>
          <w:tab w:leader="none" w:pos="251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Final Order and the other DIP Documents, and to the adequate protection granted to or for the benefit of the Prepetition Secured Parties as hereinafter set forth, the Debtors are authorized during the period from the entry of the Interim Order through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xml:space="preserve"> the Termination Date, unless extended by written agreement of the Required Lenders under, and as defined, in the DIP Credit Agreement (the “</w:t>
      </w:r>
      <w:r>
        <w:rPr>
          <w:rFonts w:ascii="Times New Roman" w:cs="Times New Roman" w:eastAsia="Times New Roman" w:hAnsi="Times New Roman"/>
          <w:sz w:val="18"/>
          <w:szCs w:val="18"/>
          <w:b w:val="1"/>
          <w:bCs w:val="1"/>
          <w:i w:val="1"/>
          <w:iCs w:val="1"/>
          <w:color w:val="auto"/>
        </w:rPr>
        <w:t>Required DIP Lenders</w:t>
      </w:r>
      <w:r>
        <w:rPr>
          <w:rFonts w:ascii="Times New Roman" w:cs="Times New Roman" w:eastAsia="Times New Roman" w:hAnsi="Times New Roman"/>
          <w:sz w:val="18"/>
          <w:szCs w:val="18"/>
          <w:color w:val="auto"/>
        </w:rPr>
        <w:t xml:space="preserve">”) on notice to the Prepetition Trustees to (a) request and use proceeds of the DIP Loans, in each case consistent with the terms and conditions of this Final Order and the DIP Documents, including the Approved Budget (subject to Permitted Variances), the Budget Covenants as defined and described in Paragraph 2(o) below, and the Stipulated Allocation and (b) use all Cash Collateral including, for the avoidance of doubt, through and including the Plan Effective Date (as defined below). The Approved Budget may only be amended, restated, supplemented, modified, replaced, or extended in accordance with this Final Order and the DIP Documents and the prior written consent of the Required DIP Lenders (on notice to the DIP Agent) without further order of the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amended, restated, supplemented, modified, replaced, or extended Approved Budget shall be served upon the U.S. Trustee, the Prepetition Trustees, and counsel to the Committee within one (1) business day of approval by the Required DIP Lenders.</w:t>
      </w:r>
    </w:p>
    <w:p>
      <w:pPr>
        <w:spacing w:after="0" w:line="189" w:lineRule="exact"/>
        <w:rPr>
          <w:rFonts w:ascii="Times New Roman" w:cs="Times New Roman" w:eastAsia="Times New Roman" w:hAnsi="Times New Roman"/>
          <w:sz w:val="18"/>
          <w:szCs w:val="18"/>
          <w:color w:val="auto"/>
        </w:rPr>
      </w:pPr>
    </w:p>
    <w:p>
      <w:pPr>
        <w:jc w:val="both"/>
        <w:ind w:left="980" w:firstLine="1295"/>
        <w:spacing w:after="0" w:line="254" w:lineRule="auto"/>
        <w:tabs>
          <w:tab w:leader="none" w:pos="253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funds transferred from any Securitization Entity to either Manager shall be made in accordance with the Approved Budget (subject to the Permitted Variance), shall be subject to the Stipulated Allocation and shall be applied first to payment of any Management Fee payable to the applicable Manager for the provision of manager services under the applicable Management Agreement. In addition, any such funds transferred to either Manager shall be documented in accordance with the DIP Documents, shall give rise to Intercompany Claims by the applicable DIP Loan Party in accordance with Paragraph 13, and shall constitute DIP Collateral subject to the DIP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funds transferred from any Securitization Entity to either Manager to pay Management Fees shall not give rise to Intercompany Claims as between such Securitization Entity and such Manager, but shall remain the Cash Collateral of the DIP Lenders so long as they are held by a DIP Loan Party.</w:t>
      </w:r>
    </w:p>
    <w:p>
      <w:pPr>
        <w:spacing w:after="0" w:line="191" w:lineRule="exact"/>
        <w:rPr>
          <w:rFonts w:ascii="Times New Roman" w:cs="Times New Roman" w:eastAsia="Times New Roman" w:hAnsi="Times New Roman"/>
          <w:sz w:val="18"/>
          <w:szCs w:val="18"/>
          <w:color w:val="auto"/>
        </w:rPr>
      </w:pPr>
    </w:p>
    <w:p>
      <w:pPr>
        <w:jc w:val="both"/>
        <w:ind w:left="980" w:firstLine="1295"/>
        <w:spacing w:after="0" w:line="266" w:lineRule="auto"/>
        <w:tabs>
          <w:tab w:leader="none" w:pos="2595"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the DIP Facility or any other cash of the DIP Loan Parties shall be transferred to any Debtor that is not a DIP Loan Party without (a) the prior written consent of the Required DIP Lenders and two business days’ notice to the Committee (or as soon as reasonably practicable) or (b) as may be ordered by the Court.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ind w:firstLine="1952"/>
        <w:spacing w:after="0" w:line="252" w:lineRule="auto"/>
        <w:tabs>
          <w:tab w:leader="none" w:pos="219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Budget.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 the Second Interim Order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rolling 13- week cash flow budget (the “</w:t>
      </w:r>
      <w:r>
        <w:rPr>
          <w:rFonts w:ascii="Times New Roman" w:cs="Times New Roman" w:eastAsia="Times New Roman" w:hAnsi="Times New Roman"/>
          <w:sz w:val="18"/>
          <w:szCs w:val="18"/>
          <w:b w:val="1"/>
          <w:bCs w:val="1"/>
          <w:i w:val="1"/>
          <w:iCs w:val="1"/>
          <w:color w:val="auto"/>
        </w:rPr>
        <w:t>Initial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Budget</w:t>
      </w:r>
      <w:r>
        <w:rPr>
          <w:rFonts w:ascii="Times New Roman" w:cs="Times New Roman" w:eastAsia="Times New Roman" w:hAnsi="Times New Roman"/>
          <w:sz w:val="18"/>
          <w:szCs w:val="18"/>
          <w:color w:val="auto"/>
        </w:rPr>
        <w:t>”) that reflects on a line-item basis, separated by each prepetition securitization silo, the Debtors’ consolidated (i) weekly projected cash receipts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from non-ordinary course assets sales), (ii) weekly projected disbursements (including ordinary course operating expenses, bankruptcy-related expenses under the Chapter 11 Cases, capital expenditures, and estimated fees and expenses of the DIP Agent (including counsel and financial advisors therefor) and any other fees and expenses relating to the DIP Facility), and (iii) the sum of weekly unrestricted cash on hand and cash in the Segregated Accounts (collectively, “</w:t>
      </w: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in each case consistent with the Stipulated Allocation. The Debtors shall prepare and deliver to the Specified Financial Advisor (as defined in the DIP Credit Agreement) and the DIP Agent (for distribution to the DIP Lenders) an updated “rolling” consolidated 13-week budget, separated by each prepetition securitization silo, consistent with the Stipulated Allocation and in accordance with section 5(a) of the DIP Credit Agreement (or, at the option of the DIP Borrowers, more frequently) (the “</w:t>
      </w:r>
      <w:r>
        <w:rPr>
          <w:rFonts w:ascii="Times New Roman" w:cs="Times New Roman" w:eastAsia="Times New Roman" w:hAnsi="Times New Roman"/>
          <w:sz w:val="18"/>
          <w:szCs w:val="18"/>
          <w:b w:val="1"/>
          <w:bCs w:val="1"/>
          <w:i w:val="1"/>
          <w:iCs w:val="1"/>
          <w:color w:val="auto"/>
        </w:rPr>
        <w:t>Updated Budget</w:t>
      </w:r>
      <w:r>
        <w:rPr>
          <w:rFonts w:ascii="Times New Roman" w:cs="Times New Roman" w:eastAsia="Times New Roman" w:hAnsi="Times New Roman"/>
          <w:sz w:val="18"/>
          <w:szCs w:val="18"/>
          <w:color w:val="auto"/>
        </w:rPr>
        <w:t>”), which shall become the then “Approved Budget” upon the written consent of the Required DIP Lenders (and to the extent any Updated Budget is not approved by the Required DIP Lenders, the Approved Budget that is then in effect shall continue to constitute the Approved Budget for purposes of the DIP Facility). The DIP Borrowers shall, beginning on the week ending April 5, 2026 and bi-weekly thereafter, and no later than 5:00 p.m. (prevailing Eastern Time) on or prior to the fourth business day of such week, provide Approved Budget variance reports setting forth (i) the Debtors’ cash receipts, expenditures, and disbursements on a line-by-line and aggregate basis (including debt service, professional fees and capital expenditures) during the rolling four-week period (or for a shorter period if applicable based on the latest Updated Budget); (ii) disbursements for the Debtors’ administrative expenses in the Chapter 11 Cases, including professional fees; and (iii) the variance in dollar amounts and as a percentage of the actual receipts and disbursements (including debt service, professional fees and capital expenditures) for each immediately preceding rolling four-week period (or for a shorter period if applicable based on the latest Updated Budget) from those reflected in the corresponding period in the Approved Budget.</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Budget Covenants</w:t>
      </w:r>
      <w:r>
        <w:rPr>
          <w:rFonts w:ascii="Times New Roman" w:cs="Times New Roman" w:eastAsia="Times New Roman" w:hAnsi="Times New Roman"/>
          <w:sz w:val="18"/>
          <w:szCs w:val="18"/>
          <w:color w:val="auto"/>
        </w:rPr>
        <w:t>. The Debtors shall only incur DIP Obligations and expend Cash Collateral and other DIP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in accordance with the Approved Budget, subject to the Permitted Variances under (and as defined in) the DIP Credit Agreement. For the avoidance of doubt, see section 5(b) of the DIP Credit Agreement for variance and liquidity reporting. The foregoing budget-related covenants are collectively referred to herein as the “</w:t>
      </w:r>
      <w:r>
        <w:rPr>
          <w:rFonts w:ascii="Times New Roman" w:cs="Times New Roman" w:eastAsia="Times New Roman" w:hAnsi="Times New Roman"/>
          <w:sz w:val="18"/>
          <w:szCs w:val="18"/>
          <w:b w:val="1"/>
          <w:bCs w:val="1"/>
          <w:i w:val="1"/>
          <w:iCs w:val="1"/>
          <w:color w:val="auto"/>
        </w:rPr>
        <w:t>Budget Covenants</w:t>
      </w:r>
      <w:r>
        <w:rPr>
          <w:rFonts w:ascii="Times New Roman" w:cs="Times New Roman" w:eastAsia="Times New Roman" w:hAnsi="Times New Roman"/>
          <w:sz w:val="18"/>
          <w:szCs w:val="18"/>
          <w:color w:val="auto"/>
        </w:rPr>
        <w:t>.” For the avoidance of doubt, the foregoing shall not limit the timely payment of Allowed Professional Fees that benefit from the Carve-Out as set forth in Paragraph 8. Notwithstanding anything to the contrary in this Final Order, the Debtors shall not be deemed to have breached the Budget Covenants to the extent the actual professional fees, costs and expenses of the Debtors’ advisors, the DIP Agent’s advisors, the Prepetition Secured Parties’ advisors, and the advisors to the Committee, respectively, exceed the applicable estimated amounts for such fees, costs, and expenses as set forth in the Approved Budget. Notwithstanding the foregoing, the DIP Borrowers shall test the Permitted Variance only in accordance with the then-operative Approved Budget.</w:t>
      </w:r>
    </w:p>
    <w:p>
      <w:pPr>
        <w:spacing w:after="0" w:line="188"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1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DIP Proceeds Not Subject to Permitted Prior Liens</w:t>
      </w:r>
      <w:r>
        <w:rPr>
          <w:rFonts w:ascii="Times New Roman" w:cs="Times New Roman" w:eastAsia="Times New Roman" w:hAnsi="Times New Roman"/>
          <w:sz w:val="18"/>
          <w:szCs w:val="18"/>
          <w:color w:val="auto"/>
        </w:rPr>
        <w:t>. Notwithstanding anything herein to the contrary, neither the DIP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the proceeds thereof, nor any Intercompany Claims arising from the transfer of DIP Loans or proceeds thereof, shall be subject to any liens or security interests (including any Permitted Prior Liens) other than the DIP Liens, the Adequate Protection Liens, the Resid Issuer Intercompany Liens (as defined below) (if any), and the Resid Adequate Protection Liens (as defined below) (if any).</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8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Adequate Protection for Prepetition Secured Parties</w:t>
      </w:r>
      <w:r>
        <w:rPr>
          <w:rFonts w:ascii="Times New Roman" w:cs="Times New Roman" w:eastAsia="Times New Roman" w:hAnsi="Times New Roman"/>
          <w:sz w:val="18"/>
          <w:szCs w:val="18"/>
          <w:color w:val="auto"/>
        </w:rPr>
        <w:t>. As adequate protection for the interests of the Prepetition Secured Parties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Prepetition Collateral (including Cash Collateral), from and after the Petition Date, pursuant to sections 361 and 363(e) of the Bankruptcy Code and subject to any timely Successful Challenge (as defined below) of the Prepetition Liens pursuant to an order of the Court that is final and not subject to further appeal:</w:t>
      </w:r>
    </w:p>
    <w:p>
      <w:pPr>
        <w:spacing w:after="0" w:line="178" w:lineRule="exact"/>
        <w:rPr>
          <w:rFonts w:ascii="Times New Roman" w:cs="Times New Roman" w:eastAsia="Times New Roman" w:hAnsi="Times New Roman"/>
          <w:sz w:val="18"/>
          <w:szCs w:val="18"/>
          <w:color w:val="auto"/>
        </w:rPr>
      </w:pPr>
    </w:p>
    <w:p>
      <w:pPr>
        <w:jc w:val="both"/>
        <w:ind w:firstLine="1304"/>
        <w:spacing w:after="0" w:line="269" w:lineRule="auto"/>
        <w:tabs>
          <w:tab w:leader="none" w:pos="15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FBG Adequate Protection Liens. </w:t>
      </w:r>
      <w:r>
        <w:rPr>
          <w:rFonts w:ascii="Times New Roman" w:cs="Times New Roman" w:eastAsia="Times New Roman" w:hAnsi="Times New Roman"/>
          <w:sz w:val="17"/>
          <w:szCs w:val="17"/>
          <w:color w:val="auto"/>
        </w:rPr>
        <w:t>As security for and to the extent of the Diminution in Value, if any, of the FBG Prepetition Liens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applicable FBG Prepetition Collateral (including Cash Collateral) from and after the Petition Date, each FBG Prepetition Trustee, for the benefit of itself and the applicable FBG Prepetition Noteholders that benefit from the FBG Prepetition Liens, is hereby granted (effective and perfected as of the entry of the Interim Order, and without the necessity of the execution, recordation or filing by any party of any security agreements, control agreements, pledge agreements, financing statements, mortgages or other similar documents, or the possession or control by any FBG Prepetition Trustee of any FBG DIP Collateral) valid, binding, enforceable and automatically perfected replacement liens on and security interests in all FBG DIP Collateral held by the applicable FBG Prepetition Obligors under the applicable FBG Prepetition Indentures, including all now-owned and hereafter acquired real and personal property (whether acquired pre- or postpetition) of the FBG DIP Loan Parties, the Escrow Account Residual Balance (to the extent provided in Paragraph 8(c) below), and postpetition Intercompany Claims of the FBG DIP Loan Parties (the “</w:t>
      </w:r>
      <w:r>
        <w:rPr>
          <w:rFonts w:ascii="Times New Roman" w:cs="Times New Roman" w:eastAsia="Times New Roman" w:hAnsi="Times New Roman"/>
          <w:sz w:val="17"/>
          <w:szCs w:val="17"/>
          <w:b w:val="1"/>
          <w:bCs w:val="1"/>
          <w:i w:val="1"/>
          <w:iCs w:val="1"/>
          <w:color w:val="auto"/>
        </w:rPr>
        <w:t>FBG Adequate Protection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any Prepetition Secured Party shall only receive FBG Adequate Protection Liens at the Prepetition Obligors for its applicable Prepetition Secured Notes. The FBG Adequate Protection Liens shall be (a) subject and subordinate to the Carve-Out, the Permitted Prior Liens, the Intercompany Liens, the FBG DIP Liens, and any Manager Advances (solely to the extent such security interest or lien was validly perfected, enforceable, and nonavoidable as of the Petition Date or validly perfected subsequent to the Petition Date to the extent permitted by section 546(b) of the Bankruptcy Code and were senior to the applicable Prepetition Liens), and (b) senior to any and all other liens and security interests in the FBG DIP Collateral, as set forth in </w:t>
      </w:r>
      <w:r>
        <w:rPr>
          <w:rFonts w:ascii="Times New Roman" w:cs="Times New Roman" w:eastAsia="Times New Roman" w:hAnsi="Times New Roman"/>
          <w:sz w:val="17"/>
          <w:szCs w:val="17"/>
          <w:b w:val="1"/>
          <w:bCs w:val="1"/>
          <w:u w:val="single" w:color="auto"/>
          <w:color w:val="auto"/>
        </w:rPr>
        <w:t>Annex 1</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both"/>
        <w:ind w:firstLine="1304"/>
        <w:spacing w:after="0" w:line="252" w:lineRule="auto"/>
        <w:tabs>
          <w:tab w:leader="none" w:pos="15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Twin Adequate Protection Liens. </w:t>
      </w:r>
      <w:r>
        <w:rPr>
          <w:rFonts w:ascii="Times New Roman" w:cs="Times New Roman" w:eastAsia="Times New Roman" w:hAnsi="Times New Roman"/>
          <w:sz w:val="18"/>
          <w:szCs w:val="18"/>
          <w:color w:val="auto"/>
        </w:rPr>
        <w:t>As security for and to the extent of Diminution in Value, if any, of the Twin Prepetition Liens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Twin Prepetition Collateral (including Cash Collateral) from and after the Petition Date, the Twin Prepetition Trustee, for the benefit of itself and the Twin Prepetition Noteholders, is hereby granted (effective and perfected as of the entry of the Interim Order, and without the necessity of the execution, recordation or filing by any party of any security agreements, control agreements, pledge agreements, financing statements, mortgages or other similar documents, or the possession or control by the Twin Prepetition Trustee of any Twin DIP Collateral) valid, binding, enforceable and automatically perfected replacement liens on and security interests in all Twin DIP Collateral, including all now-owned and hereafter acquired real and personal property (whether acquired pre-or postpetition) of the Twin DIP Loan Parties, the Escrow Account Residual Balance (to the extent provided in Paragraph 8(c) below), and postpetition Intercompany Claims of the Twin DIP Loan Parties (the “</w:t>
      </w:r>
      <w:r>
        <w:rPr>
          <w:rFonts w:ascii="Times New Roman" w:cs="Times New Roman" w:eastAsia="Times New Roman" w:hAnsi="Times New Roman"/>
          <w:sz w:val="18"/>
          <w:szCs w:val="18"/>
          <w:b w:val="1"/>
          <w:bCs w:val="1"/>
          <w:i w:val="1"/>
          <w:iCs w:val="1"/>
          <w:color w:val="auto"/>
        </w:rPr>
        <w:t>Twin Adequate Protection Liens</w:t>
      </w:r>
      <w:r>
        <w:rPr>
          <w:rFonts w:ascii="Times New Roman" w:cs="Times New Roman" w:eastAsia="Times New Roman" w:hAnsi="Times New Roman"/>
          <w:sz w:val="18"/>
          <w:szCs w:val="18"/>
          <w:color w:val="auto"/>
        </w:rPr>
        <w:t>” and, together with the FBG Adequate Protection Liens, the “</w:t>
      </w:r>
      <w:r>
        <w:rPr>
          <w:rFonts w:ascii="Times New Roman" w:cs="Times New Roman" w:eastAsia="Times New Roman" w:hAnsi="Times New Roman"/>
          <w:sz w:val="18"/>
          <w:szCs w:val="18"/>
          <w:b w:val="1"/>
          <w:bCs w:val="1"/>
          <w:i w:val="1"/>
          <w:iCs w:val="1"/>
          <w:color w:val="auto"/>
        </w:rPr>
        <w:t>Adequate Protection Liens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anything in this Final Order to the contrary, in no event shall Adequate Protection Liens or Intercompany Liens granted herein relating to the Debtors’ insurance policies, if any, interfere with any rights held by a landlord under such policies to any such insurance proceeds for damage to landlord’s property. The Twin Adequate Protection Liens shall be (a) subject and subordinate to the Carve-Out, the Permitted Prior Liens, the Intercompany Liens, the Twin DIP Liens, any Manager Advances (solely to the extent such security interest or lien was validly perfected, enforceable, and nonavoidable as of the Petition Date or validly perfected subsequent to the Petition Date to the extent permitted by section 546(b) of the Bankruptcy Code and were senior to the applicable Prepetition Liens), and (b) senior to any and all other liens and security interests in the Twin DIP Collateral, as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FBG Prepetition Notes Adequate Protection Claims</w:t>
      </w:r>
      <w:r>
        <w:rPr>
          <w:rFonts w:ascii="Times New Roman" w:cs="Times New Roman" w:eastAsia="Times New Roman" w:hAnsi="Times New Roman"/>
          <w:sz w:val="18"/>
          <w:szCs w:val="18"/>
          <w:color w:val="auto"/>
        </w:rPr>
        <w:t>. Each FBG Prepetition Trustee, for the benefit of itself and the applicable FBG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Noteholders that benefit from the FBG Prepetition Liens, is hereby granted, to the extent of Diminution in Value, if any, of the FBG Prepetition Liens in the applicable FBG Prepetition Collateral (including Cash Collateral) from and after the Petition Date, an allowed superpriority expense claim as contemplated by section 507(b) of the Bankruptcy Code, against each of the applicable FBG Prepetition Obligors under the applicable FBG Prepetition Indentures in each of their respective Chapter 11 Cases and any Successor Cases (the “</w:t>
      </w:r>
      <w:r>
        <w:rPr>
          <w:rFonts w:ascii="Times New Roman" w:cs="Times New Roman" w:eastAsia="Times New Roman" w:hAnsi="Times New Roman"/>
          <w:sz w:val="18"/>
          <w:szCs w:val="18"/>
          <w:b w:val="1"/>
          <w:bCs w:val="1"/>
          <w:i w:val="1"/>
          <w:iCs w:val="1"/>
          <w:color w:val="auto"/>
        </w:rPr>
        <w:t>FBG Adequate Protection Claims</w:t>
      </w:r>
      <w:r>
        <w:rPr>
          <w:rFonts w:ascii="Times New Roman" w:cs="Times New Roman" w:eastAsia="Times New Roman" w:hAnsi="Times New Roman"/>
          <w:sz w:val="18"/>
          <w:szCs w:val="18"/>
          <w:color w:val="auto"/>
        </w:rPr>
        <w:t xml:space="preserve">”), which shall be payable by each of the FBG Prepetition Obligors under the applicable FBG Prepetition Indentures on a joint and several basis, and shall have recourse to all FBG DIP Collateral held by such FBG Prepetition Obligors and the Escrow Account Residual Balance (to the extent provided in Paragraph 8(c) below). The FBG Adequate Protection Claims shall be (a) subject and subordinate to the Carve-Out, the postpetition Intercompany Claims at the applicable FBG DIP Loan Parties, and the FBG DIP Superpriority Claims at the applicable FBG DIP Loan Parties and (b) senior to any and all other administrative expense claims and all other claims against the applicable FBG Prepetition Obligors and their estates, now existing or hereafter arising, of any kind or nature, as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Twin Prepetition Notes Adequate Protection Claims</w:t>
      </w:r>
      <w:r>
        <w:rPr>
          <w:rFonts w:ascii="Times New Roman" w:cs="Times New Roman" w:eastAsia="Times New Roman" w:hAnsi="Times New Roman"/>
          <w:sz w:val="18"/>
          <w:szCs w:val="18"/>
          <w:color w:val="auto"/>
        </w:rPr>
        <w:t>. The Twin Prepetition Trustee, for the benefit of itself and the Twin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Noteholders that benefit from the Twin Prepetition Liens, is hereby granted, to the extent of Diminution in Value, if any, of the Twin Prepetition Liens in the applicable Twin Prepetition Collateral (including Cash Collateral) from and after the Petition Date, an allowed superpriority expense claim as contemplated by section 507(b) of the Bankruptcy Code, against each of the applicable Twin Prepetition Obligors under the Twin Prepetition Indenture in each of their respective Chapter 11 Cases and any Successor Cases (the “</w:t>
      </w:r>
      <w:r>
        <w:rPr>
          <w:rFonts w:ascii="Times New Roman" w:cs="Times New Roman" w:eastAsia="Times New Roman" w:hAnsi="Times New Roman"/>
          <w:sz w:val="18"/>
          <w:szCs w:val="18"/>
          <w:b w:val="1"/>
          <w:bCs w:val="1"/>
          <w:i w:val="1"/>
          <w:iCs w:val="1"/>
          <w:color w:val="auto"/>
        </w:rPr>
        <w:t>Twin Adequate Protection Claims</w:t>
      </w:r>
      <w:r>
        <w:rPr>
          <w:rFonts w:ascii="Times New Roman" w:cs="Times New Roman" w:eastAsia="Times New Roman" w:hAnsi="Times New Roman"/>
          <w:sz w:val="18"/>
          <w:szCs w:val="18"/>
          <w:color w:val="auto"/>
        </w:rPr>
        <w:t>” and, together with the FBG Adequate Protection Claims, the “</w:t>
      </w:r>
      <w:r>
        <w:rPr>
          <w:rFonts w:ascii="Times New Roman" w:cs="Times New Roman" w:eastAsia="Times New Roman" w:hAnsi="Times New Roman"/>
          <w:sz w:val="18"/>
          <w:szCs w:val="18"/>
          <w:b w:val="1"/>
          <w:bCs w:val="1"/>
          <w:i w:val="1"/>
          <w:iCs w:val="1"/>
          <w:color w:val="auto"/>
        </w:rPr>
        <w:t>Adequate Protection Claims</w:t>
      </w:r>
      <w:r>
        <w:rPr>
          <w:rFonts w:ascii="Times New Roman" w:cs="Times New Roman" w:eastAsia="Times New Roman" w:hAnsi="Times New Roman"/>
          <w:sz w:val="18"/>
          <w:szCs w:val="18"/>
          <w:color w:val="auto"/>
        </w:rPr>
        <w:t xml:space="preserve">”), which shall be payable by each of the applicable Twin Prepetition Obligors on a joint and several basis, and shall have recourse to all Twin DIP Collateral held by such Twin Prepetition Obligors and the Escrow Account Residual Balance (to the extent provided in Paragraph 8(c) below). The Twin Adequate Protection Claims shall be (a) subject and subordinate to the Carve-Out, the postpetition Intercompany Claims at the applicable Twin DIP Loan Parties, and the Twin DIP Superpriority Claims at the applicable Twin DIP Loan Parties and (b) senior to any and all other administrative expense claims and all other claims against the applicable Twin Prepetition Obligors and their estates, now existing or hereafter arising, of any kind or nature, as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Debtors shall provide the Prepetition Trustees and the Committee with all reports, budgets (including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Budget and Updated Budgets), documents and other information required to be delivered to any of the DIP Secured Parties under the DIP Documents or this Final Order at the same time that such information is delivered to any of the DIP Secured Parties.</w:t>
      </w:r>
    </w:p>
    <w:p>
      <w:pPr>
        <w:spacing w:after="0" w:line="17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In each case, without duplication of amounts required to be paid pursuant to the DIP Documents, the Debtors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directed to pay the reasonable and documented out-of-pocket fees, costs and expenses of the Prepetition Trustees, Greenberg Traurig, LLP (for its fees and expenses incurred through February 15, 2026) and Kelley Drye &amp; Warren LLP (for its fees and expenses incurred from and after January 31, 2026), each as counsel to the Prepetition Trustees, any local counsel to the Prepetition Trustees, and of White &amp; Case LLP, as counsel to the WBS Ad Hoc Group, any local counsel to the WBS Ad Hoc Group, and Houlihan Lokey, as investment banker to the WBS Ad Hoc Group, in each case whether arising prior to or after the Petition Date, without the necessity of filing formal fee applications or compliance with the U.S. Trustee’s fee guidelines, subject to Paragraph 18(c) of this Final Order. The Debtors are authorized and directed to pay the amounts provided in this subparagraph whether or not contained in the Approved Budget and without being limited by the dollar estimates contained in the Approved Budget.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2" w:name="page43"/>
    <w:bookmarkEnd w:id="42"/>
    <w:p>
      <w:pPr>
        <w:jc w:val="both"/>
        <w:ind w:firstLine="656"/>
        <w:spacing w:after="0" w:line="251" w:lineRule="auto"/>
        <w:tabs>
          <w:tab w:leader="none" w:pos="8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DIP Lien and Adequate Protection Lien Perfection</w:t>
      </w:r>
      <w:r>
        <w:rPr>
          <w:rFonts w:ascii="Times New Roman" w:cs="Times New Roman" w:eastAsia="Times New Roman" w:hAnsi="Times New Roman"/>
          <w:sz w:val="18"/>
          <w:szCs w:val="18"/>
          <w:color w:val="auto"/>
        </w:rPr>
        <w:t>. This Final Order shall be sufficient and conclusive evidence of the validity, perfection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priority of the DIP Liens and the Adequate Protection Liens and Resid Adequate Protection Liens (if any) without the necessity of filing or recording any financing statement, deed of trust, mortgage, or other instrument or document which may otherwise be required under the law of any jurisdiction or the taking of any other action to validate or perfect the DIP Liens, the Adequate Protection Liens, and the Resid Adequate Protection Liens (if any) or to entitle the DIP Liens, the Adequate Protection Liens, and the Resid Adequate Protection Liens (if any) to the priorities granted herein. Notwithstanding the foregoing, the DIP Agent (acting at the written direction of the Required DIP Lenders) or the Prepetition Trustees may, but are not required to file such financing statements, deeds of trust, mortgages, security agreements, notices of liens and other similar documents, and each is hereby granted relief from the automatic stay of section 362 of the Bankruptcy Code in order to do so, and all such financing statements, deeds of trust, mortgages, security agreements, notices and other agreements or documents shall be deemed to have been filed or recorded at the time and on the date of the commencement of the Chapter 11 Cases. Subject to the terms and conditions of the DIP Documents, the Debtors shall take actions reasonably requested by the DIP Agent (acting at the written direction of the Required DIP Lenders) or the Prepetition Trustees, including executing and delivering to the DIP Agent or the Prepetition Trustees (as applicable) any financing statements, security agreements, notices and other documents as the DIP Agent (acting at the written direction of the Required DIP Lenders) or the Prepetition Trustees may reasonably request, to evidence, confirm, validate or perfect, or to insure the contemplated priority of the DIP Liens and the Adequate Protection Liens. The DIP Agent (acting at the written direction of the Required DIP Lenders) and the Prepetition Trustees may file a photocopy of this Final Order as a financing statement with any recording officer designated to file financing statements or with any registry of deeds or similar office in any jurisdiction in which the Debtors have real or personal property and, in such event, the subject filing or recording officer shall be authorized to file or record such copy of this Final Order. To the extent that the applicable Prepetition Trustee is the secured party under any account control agreements, listed as loss payee under any of the Debtors’ insurance policies or is the secured party under any Prepetition Document, the DIP Agent is also hereby deemed to be the secured party under such account control agreements, loss payee under the Debtors’ insurance policies and the secured party under each such Prepetition Document, and shall have all rights and powers attendant to such positions (including, without limitation, rights of enforcement) and shall act at the written direction of the DIP Lenders, or Required DIP Lenders, as set forth in the DIP Credit Agreement, in such capacities and distribute any proceeds recovered or received in accordance with the terms of this Final Order and the other DIP Documents. The Prepetition Trustees shall serve as agent for the DIP Agent for purposes of perfecting the DIP Agent’s security interests and liens on all DIP Collateral that is of a type such that perfection of a security interest therein may be accomplished only by possession or control by a secured party. Any provision of any lease, loan document, easement, use agreement, proffer, covenant, license, contract, organizational document, or other instrument or agreement that requires the payment of any fees or other monetary obligations to any governmental entity or non-governmental entity in order for the Debtors to pledge, grant, mortgage, sell, assign, or otherwise transfer any fee or leasehold interest or the proceeds thereof or other DIP Collateral or Prepetition Collateral is and shall be deemed to be inconsistent with the provisions of the Bankruptcy Code, and shall have no force or effect with respect to the Liens on such leasehold interests or other applicable DIP Collateral or Prepetition Collateral or the proceeds of any assignment and/or sale thereof by any Debtors, in favor of the DIP Secured Parties in accordance with the terms of the DIP Documents and this Final Order or in favor of the Prepetition Secured Parties in accordance with this Final Order.</w:t>
      </w:r>
    </w:p>
    <w:p>
      <w:pPr>
        <w:spacing w:after="0" w:line="201" w:lineRule="exact"/>
        <w:rPr>
          <w:rFonts w:ascii="Times New Roman" w:cs="Times New Roman" w:eastAsia="Times New Roman" w:hAnsi="Times New Roman"/>
          <w:sz w:val="18"/>
          <w:szCs w:val="18"/>
          <w:color w:val="auto"/>
        </w:rPr>
      </w:pPr>
    </w:p>
    <w:p>
      <w:pPr>
        <w:jc w:val="both"/>
        <w:ind w:firstLine="656"/>
        <w:spacing w:after="0" w:line="253" w:lineRule="auto"/>
        <w:tabs>
          <w:tab w:leader="none" w:pos="8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Rights of Prepetition Secured Parties</w:t>
      </w:r>
      <w:r>
        <w:rPr>
          <w:rFonts w:ascii="Times New Roman" w:cs="Times New Roman" w:eastAsia="Times New Roman" w:hAnsi="Times New Roman"/>
          <w:sz w:val="18"/>
          <w:szCs w:val="18"/>
          <w:color w:val="auto"/>
        </w:rPr>
        <w:t>. Notwithstanding any other provision hereof, the grant of adequate protection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Prepetition Secured Parties pursuant to this Final Order shall not be deemed an admission that the interests of such Prepetition Secured Parties are indeed adequately protected, and is without prejudice to the right of the Prepetition Secured Parties to seek additional relief with respect to the use of Prepetition Collateral (including Cash Collateral), or to seek modification of the grant of adequate protection provided hereby so as to provide different or additional adequate protection, and, in each case, without prejudice to the right of the Debtors or any other party in interest to contest any such modification or grant and provided that any such additional or alternative adequate protection shall at all times be subordinate and junior to the Carve-Out. Nothing herein shall be deemed to waive, modify or otherwise impair the respective rights of the Prepetition Secured Parties under the Prepetition Documents, or under applicable law, and the Prepetition Secured Parties expressly reserve all of their respective rights and remedies whether now existing or hereafter arising under the Prepetition Documents and/or applicable law, in each case with the rights of the Debtors to contest or object thereto reserved. Without limiting the foregoing, nothing contained in this Final Order shall impair or modify the application of section 507(b) of the Bankruptcy Code in the event that the adequate protection provided hereunder is insufficient to compensate the Prepetition Secured Parties for Diminution in Value, if any, during the Chapter 11 Cases, in each case with the rights of the Debtors to contest or object thereto reserved.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left="840" w:hanging="184"/>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DIP Facility Release and Indemnity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The Debtors forever and irrevocably release, discharge, and acquit each of the (a) DIP Secured Parties, (b) former,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Affiliates of the DIP Secured Parties, and (c) former, current or future officers, employees, directors, agents, representatives, owners, members, partners, financial and other advisors and consultants, legal advisors, shareholders, managers, consultants, accountants, attorneys, and predecessors and successors in interest of each of the DIP Secured Parties and each of their respective Affiliates, in each case acting in such capacity (collectively, the “</w:t>
      </w:r>
      <w:r>
        <w:rPr>
          <w:rFonts w:ascii="Times New Roman" w:cs="Times New Roman" w:eastAsia="Times New Roman" w:hAnsi="Times New Roman"/>
          <w:sz w:val="18"/>
          <w:szCs w:val="18"/>
          <w:b w:val="1"/>
          <w:bCs w:val="1"/>
          <w:i w:val="1"/>
          <w:iCs w:val="1"/>
          <w:color w:val="auto"/>
        </w:rPr>
        <w:t>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of and from any and all “claims” (as defined in section 101(5) of the Bankruptcy Code) demands, liabilities, responsibilities, disputes,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remedies, causes of action, indebtedness and obligations, rights, assertions, allegations, actions, suits, controversies, proceedings, losses, damages, injuries, attorneys’ fees, costs, expenses, or judgments of every type, whether known, unknown, asserted, unasserted, suspected, unsuspected, accrued, unaccrued, fixed, contingent, pending or threatened including, without limitation, all legal and equitable theories of recovery, arising under common law, statute or regulation or by contract, of every nature and description, that the Debtors may have as of the date hereof arising out of, in connection with, or relating to the DIP Facility, the DIP Documents and/or the transactions contemplated hereunder or thereunder including, without limitation, (x) any so-called “lender liability” or equitable subordination claims or defenses, (y) any and all claims and causes of action arising under the Bankruptcy Code, and (z) any and all claims and causes of action with respect to the validity, priority, extent, enforceability, perfection or avoidability of the liens or claims of the DIP Secured Parties. Notwithstanding anything herein to the contrary, the foregoing releases shall not release any party for gross negligence, actual fraud or willful misconduct as determined in a final order by a court of competent jurisdiction, and shall not release the DIP Secured Parties from their obligations hereunder or the DIP Documents.</w:t>
      </w:r>
    </w:p>
    <w:p>
      <w:pPr>
        <w:spacing w:after="0" w:line="19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The DIP Secured Parties shall be and hereby are indemnified and held harmless by the Debtors, jointly and severally,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of any claim or liability incurred with respect to the DIP Facility and the use of Cash Collateral (as defined below) or in any way related thereto except for claims relating to gross negligence, actual fraud, willful misconduct, or breach of the DIP Secured Parties’ obligations under the DIP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Final Order or the DIP Documents shall require the Debtors to provide any indemnity to any party related to or arising out of any transactions other than the DIP Facility. No exception or defense in contract, law or equity exists as to any obligation set forth, as the case may be, in this Paragraph 6, in the DIP Documents, to indemnify and/or hold harmless the DIP Agent or any other DIP Secured Party, as the case may be, and any such defenses are hereby waived.</w:t>
      </w:r>
    </w:p>
    <w:p>
      <w:pPr>
        <w:spacing w:after="0" w:line="18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Certain Third Party Rights and Bar of Challenges and Claims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findings in Paragraph E hereof and all agreements, terms, provisions and stipulations set forth in Paragraph E hereof (the “</w:t>
      </w:r>
      <w:r>
        <w:rPr>
          <w:rFonts w:ascii="Times New Roman" w:cs="Times New Roman" w:eastAsia="Times New Roman" w:hAnsi="Times New Roman"/>
          <w:sz w:val="18"/>
          <w:szCs w:val="18"/>
          <w:b w:val="1"/>
          <w:bCs w:val="1"/>
          <w:i w:val="1"/>
          <w:iCs w:val="1"/>
          <w:color w:val="auto"/>
        </w:rPr>
        <w:t>Claims Stipulations</w:t>
      </w:r>
      <w:r>
        <w:rPr>
          <w:rFonts w:ascii="Times New Roman" w:cs="Times New Roman" w:eastAsia="Times New Roman" w:hAnsi="Times New Roman"/>
          <w:sz w:val="18"/>
          <w:szCs w:val="18"/>
          <w:color w:val="auto"/>
        </w:rPr>
        <w:t>”) shall be irrevocably binding on all persons and entities upon the Challenge Period Termination Date, subject to any Successful Challenge as set forth herein. Nothing in this Final Order shall prejudice any rights any party with standing (to the extent required) to do so may have (a) to challenge any of the Claims Stipulations, including any challenge, complaint, claim, counter-claim, cause of action, suit, objection, proceeding, set off or defense under the Bankruptcy Code or applicable non-bankruptcy law in relation to (i) the validity, extent, perfection or priority of the Prepetition Liens on the Prepetition Collateral of the Prepetition Secured Parties, or (ii) the validity, allowability, priority, status or amount of the Prepetition Secured Obligations of the Prepetition Secured Parties (including any Prepetition Secured Obligations that are refinanced by Rolled-Up DIP Loans); or (b) to bring any challenge, complaint, claim, counter-claim, cause of action, suit, objection, proceeding, set off or defense under the Bankruptcy Code or applicable non-bankruptcy law against any of the Prepetition Secured Parties in connection with or related to the matters covered by the Claims Stipulations any such action described in clauses (a) or (b), a “</w:t>
      </w:r>
      <w:r>
        <w:rPr>
          <w:rFonts w:ascii="Times New Roman" w:cs="Times New Roman" w:eastAsia="Times New Roman" w:hAnsi="Times New Roman"/>
          <w:sz w:val="18"/>
          <w:szCs w:val="18"/>
          <w:b w:val="1"/>
          <w:bCs w:val="1"/>
          <w:i w:val="1"/>
          <w:iCs w:val="1"/>
          <w:color w:val="auto"/>
        </w:rPr>
        <w:t>Challenge</w:t>
      </w:r>
      <w:r>
        <w:rPr>
          <w:rFonts w:ascii="Times New Roman" w:cs="Times New Roman" w:eastAsia="Times New Roman" w:hAnsi="Times New Roman"/>
          <w:sz w:val="18"/>
          <w:szCs w:val="18"/>
          <w:color w:val="auto"/>
        </w:rPr>
        <w:t>” and any final, non-appealable order in favor of such party in interest sustaining any such Challenge in any such timely-filed contested matter, adversary proceeding, or other action a “</w:t>
      </w:r>
      <w:r>
        <w:rPr>
          <w:rFonts w:ascii="Times New Roman" w:cs="Times New Roman" w:eastAsia="Times New Roman" w:hAnsi="Times New Roman"/>
          <w:sz w:val="18"/>
          <w:szCs w:val="18"/>
          <w:b w:val="1"/>
          <w:bCs w:val="1"/>
          <w:i w:val="1"/>
          <w:iCs w:val="1"/>
          <w:color w:val="auto"/>
        </w:rPr>
        <w:t>Successful Challenge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any party with standing (to the extent required) commences an adversary proceeding or contested matter (as applicable) raising such objection or Challenge, by the date that is the earlier of (I) June 2, 2026 and (II) the objection deadline with respect to a proposed sale of all or substantially all of the Debtors’ assets (the period described in the immediately preceding clause shall be referred to as the “</w:t>
      </w:r>
      <w:r>
        <w:rPr>
          <w:rFonts w:ascii="Times New Roman" w:cs="Times New Roman" w:eastAsia="Times New Roman" w:hAnsi="Times New Roman"/>
          <w:sz w:val="18"/>
          <w:szCs w:val="18"/>
          <w:b w:val="1"/>
          <w:bCs w:val="1"/>
          <w:i w:val="1"/>
          <w:iCs w:val="1"/>
          <w:color w:val="auto"/>
        </w:rPr>
        <w:t>Challenge Period</w:t>
      </w:r>
      <w:r>
        <w:rPr>
          <w:rFonts w:ascii="Times New Roman" w:cs="Times New Roman" w:eastAsia="Times New Roman" w:hAnsi="Times New Roman"/>
          <w:sz w:val="18"/>
          <w:szCs w:val="18"/>
          <w:color w:val="auto"/>
        </w:rPr>
        <w:t>” and the date that is the next calendar day after the termination of the Challenge Period in the event that either (i) no Challenge is properly raised during the Challenge Period or (ii) with respect only to those parties who properly file a Challenge, such Challenge is fully and finally adjudicated, shall be referred to as the “</w:t>
      </w:r>
      <w:r>
        <w:rPr>
          <w:rFonts w:ascii="Times New Roman" w:cs="Times New Roman" w:eastAsia="Times New Roman" w:hAnsi="Times New Roman"/>
          <w:sz w:val="18"/>
          <w:szCs w:val="18"/>
          <w:b w:val="1"/>
          <w:bCs w:val="1"/>
          <w:i w:val="1"/>
          <w:iCs w:val="1"/>
          <w:color w:val="auto"/>
        </w:rPr>
        <w:t>Challenge Period Termination Date</w:t>
      </w:r>
      <w:r>
        <w:rPr>
          <w:rFonts w:ascii="Times New Roman" w:cs="Times New Roman" w:eastAsia="Times New Roman" w:hAnsi="Times New Roman"/>
          <w:sz w:val="18"/>
          <w:szCs w:val="18"/>
          <w:color w:val="auto"/>
        </w:rPr>
        <w:t xml:space="preserve">”), upon the Challenge Period Termination Date, any and all such Challenges and objections by the Committee, any chapter 11 or chapter 7 trustee appointed herein or in any Successor Case, and any other party in interest shall be deemed to be forever waived and barred, and the Prepetition Secured Obligations of the Prepetition Secured Parties shall be deemed to be allowed secured claims within the meaning of sections 502 and 506 of the Bankruptcy Code for all purposes in connection with the Chapter 11 Cases, and the Claims Stipulations and the Roll-Up shall be binding on all creditors, interest holders and parties in interest. For the avoidance of doubt, each DIP Lender shall be entitled to assert a Challenge, including with respect to the adjudication of any intercreditor issues, which shall be subject to the procedures set forth in this Paragraph 7(a). If a chapter 7 trustee or a chapter 11 trustee is appointed or elected during the Challenge Period, then the Challenge Period Termination Date with respect to such trustee only, shall be the later of (i) the last day of the Challenge Period and (ii) the date that is thirty (30) days after the date on which such trustee is appointed or elected. To the extent any such objection or complaint is filed prior to the Challenge Period Termination Date, the Claims Stipulations shall nonetheless remain binding and preclusive except to the extent expressly challenged in such objection or complaint and only to the extent such Challenge becomes a Successful Challenge. Upon a Successful Challenge as against any party, the Court shall fashion an appropriate remedy, including with respect to DIP Roll-Up Loans to extent that the rolled-up Prepetition Obligations are the subject of a Successful Challenge (which remedy may include, but not be limited to, unwinding or otherwise modifying the DIP Roll-Up Loans and/or reinstating any Prepetition Secured Obligations). All rights, remedies or defenses of any party with respect to any Challenge are hereby preserved. Notwithstanding any provision to the contrary herein, nothing in this Final Order shall be construed to grant standing on any party in interest, including the Committee, to bring any Challenge on behalf of the Debtors’ estates. The failure of any party in interest, including the Committee, to obtain an order of this Court prior to the Challenge Period Termination Date granting standing to bring any Challenge on behalf of the Debtors’ estates shall not be a defense to failing to commence a Challenge prior to the Challenge Period Termination Date as required under this Paragraph 7 or to require or permit an extension of the Challenge Period 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Committee or any party in interest files a motion for standing to assert any Challenge prior to the Challenge Period Termination Date (and provided that the relevant pleading asserting such Challenge is attached as an exhibit to such motion), then the Challenge Period Termination Date shall be tolled, solely for such party in interest and solely with respect to such Challenge set forth in the exhibit to such motion, until three (3) Business Days after the Court rules on such motion.</w:t>
      </w:r>
    </w:p>
    <w:p>
      <w:pPr>
        <w:spacing w:after="0" w:line="19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granted sole and exclusive standing to investigate, prosecute, and settle any potential claims for a Manager Advance (as defined in the applicable Management Agreement) (a “</w:t>
      </w:r>
      <w:r>
        <w:rPr>
          <w:rFonts w:ascii="Times New Roman" w:cs="Times New Roman" w:eastAsia="Times New Roman" w:hAnsi="Times New Roman"/>
          <w:sz w:val="18"/>
          <w:szCs w:val="18"/>
          <w:b w:val="1"/>
          <w:bCs w:val="1"/>
          <w:i w:val="1"/>
          <w:iCs w:val="1"/>
          <w:color w:val="auto"/>
        </w:rPr>
        <w:t>Manager Advance Claim</w:t>
      </w:r>
      <w:r>
        <w:rPr>
          <w:rFonts w:ascii="Times New Roman" w:cs="Times New Roman" w:eastAsia="Times New Roman" w:hAnsi="Times New Roman"/>
          <w:sz w:val="18"/>
          <w:szCs w:val="18"/>
          <w:color w:val="auto"/>
        </w:rPr>
        <w:t>”) and, for the avoidance of doubt, the Debtors (or any party acting or seeking to act on behalf of the Debtors) are barred from bringing any Manager Advance Claims. If the Committee (or any other party in interest with standing) fails to bring a Manager Advance Claim by the Challenge Period Termination Date, it shall be deemed and hereby ordered that, as of the Petition Date, no Manager Advances were due and owing by the FBG DIP Borrowers, the Twin DIP Borrower, or any other DIP Loan Party to any Manager under the Management Agreements,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44" w:name="page45"/>
    <w:bookmarkEnd w:id="44"/>
    <w:p>
      <w:pPr>
        <w:jc w:val="both"/>
        <w:ind w:firstLine="1304"/>
        <w:spacing w:after="0" w:line="268" w:lineRule="auto"/>
        <w:tabs>
          <w:tab w:leader="none" w:pos="154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proviso set forth in this Paragraph 7(c), no portion of the Carve-Out, no proceeds of the DIP Facility, the DIP Collateral or DIP Loans, and no proceeds of the Prepetition Collateral (including Cash Collateral), may be used by any Debtor for the payment of (i) the fees and expenses of any person incurred in investigating (except as set forth below), prosecuting, challenging, or in relation to the Challenge against, the DIP Secured Parties or the Prepetition Secured Parties, including, without limitation, any claim under Chapter 5 of the Bankruptcy Code, or any state, local or foreign law, in respect of the Prepetition Secured Obligations or the DIP Obligations, or in preventing, hindering or delaying the realization by the Prepetition Secured Parties or the DIP Secured Parties upon any Prepetition Collateral or DIP Collateral, respectively, or the enforcement of their respective rights under this Final Order, any other DIP Document or any Prepetition Document, (ii) the fees and expenses of any person incurred in requesting authorization, or supporting any request for authorization, to obtain postpetition financing (whether equity or debt) or other financial accommodations pursuant to section 364(c) or (d) of the Bankruptcy Code, or otherwise, other than (x) from the DIP Lenders or (y) if such financing is sufficient to indefeasibly pay and satisfy all DIP Obligations in full in cash and such financing is immediately so used, (iii) the fees and expenses of any person incurred in connection with any claims or causes of actions against the Releasees, including formal or informal discovery proceedings in anticipation thereof, and/or in challenging any Prepetition Secured Obligations, DIP Obligations, Prepetition Liens, Adequate Protection Liens or DIP Liens, (iv) the fees and expenses of any person (other than the Committee to the extent forth in the below proviso) incurred in investigating or asserting any claims of a Debtor against any other Debtor, (v) the fees and expenses of any person (other than the Committee) incurred investigating, analyzing, evaluating, or prosecuting Manager Advances or any claims related thereto, (vi) amounts related to non-commercial travel by Andrew Wiederhorn, (vii) amounts to current or former officers or directors of the Debtors (or any other family members of Andrew Wiederhorn) other than (w) ordinary course salary payments, (x) non-employee</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director fees and expenses, (y) any amounts payable pursuant to the director agreements with Special Committee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members and (z) as may otherwise be set forth in the Governance Agreement, and (viii) amounts on account of prepetition funded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more than $150,000 of the proceeds of the DIP Facility, the DIP Collateral, DIP Loans, or Prepetition Collateral (including Cash Collateral), any portion of the Carve-Out, or any other Debtor funds, may be used for allowed fees and expenses incurred by the Committee prior to the Challenge Period Termination Date to investigate (but not to litigate, contest, initiate, assert, join, commence, support or prosecute any Challenge, including by way of formal or informal discovery, with respect to), the validity, enforceability, extent, perfection or priority of the Prepetition Secured Obligations, the Prepetition Documents so long as such investigation occurs within the Challenge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Committee shall not be subject to such investigation cap with respect to its right to investigate, prosecute, and settle any Manager Advance Claim so long as such investigation or Challenge occurs within the Challenge Period. For the avoidance of doubt, the foregoing limitations shall not (i) prevent or otherwise limit the Debtors, the Committee and their respective professionals from being heard on whether a Termination Event has occurred and is continuing, (ii) be construed as a cap or limitation on the amount of Allowed Professional Fees due and payable by the Debtors or that may be allowed by the Court at any time (including on an interim basis), or (iii) prohibit the Debtors’ use of the DIP Collateral, Prepetition Collateral, DIP Loans, Cash Collateral, proceeds of any of the foregoing, any portion of the Carve-Out or any other funds to respond to investigations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20" w:lineRule="auto"/>
        <w:tabs>
          <w:tab w:leader="none" w:pos="34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Committee</w:t>
      </w:r>
      <w:r>
        <w:rPr>
          <w:rFonts w:ascii="Times New Roman" w:cs="Times New Roman" w:eastAsia="Times New Roman" w:hAnsi="Times New Roman"/>
          <w:sz w:val="18"/>
          <w:szCs w:val="18"/>
          <w:color w:val="auto"/>
        </w:rPr>
        <w:t xml:space="preserve">” has the meaning ascribed to it in the Unanimous Written Consent of the Boards of FAT Brands Inc., Twin Hospitality Group Inc., and the SC Entities (as defined therein),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i w:val="1"/>
          <w:iCs w:val="1"/>
          <w:color w:val="auto"/>
        </w:rPr>
        <w:t>Debtors’ Preliminary Objection to Ad Hoc Group of Securitization Noteholders’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Emergency Motion for an Order (i) Temporarily Suspending Andrew Wiederhorn As Chief Executive Officer, (ii) Vesting Authority in the Debtors’ Special Committees, and (iii) Granting Related Relief [Docket No. 195].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840" w:hanging="184"/>
        <w:spacing w:after="0"/>
        <w:tabs>
          <w:tab w:leader="none" w:pos="8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Carve-Out</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3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Final Order, the “</w:t>
      </w:r>
      <w:r>
        <w:rPr>
          <w:rFonts w:ascii="Times New Roman" w:cs="Times New Roman" w:eastAsia="Times New Roman" w:hAnsi="Times New Roman"/>
          <w:sz w:val="18"/>
          <w:szCs w:val="18"/>
          <w:b w:val="1"/>
          <w:bCs w:val="1"/>
          <w:i w:val="1"/>
          <w:iCs w:val="1"/>
          <w:color w:val="auto"/>
        </w:rPr>
        <w:t>Carve-Out</w:t>
      </w:r>
      <w:r>
        <w:rPr>
          <w:rFonts w:ascii="Times New Roman" w:cs="Times New Roman" w:eastAsia="Times New Roman" w:hAnsi="Times New Roman"/>
          <w:sz w:val="18"/>
          <w:szCs w:val="18"/>
          <w:color w:val="auto"/>
        </w:rPr>
        <w:t>” means the sum of: (i) all fees required to be paid by the Debtors to the Clerk of the Court and all statutory fees payable to the U.S. Trustee under section 1930(a) of title 28 of the United States Code, together with the statutory rate of interest (without regard to the notice set forth in (iii) below); (ii) all reasonable and documented fees, costs and expenses up to $75,000 incurred by a trustee for the Debtors under section 726(b) of the Bankruptcy Code (without regard to the notice set forth in (iii) below); (iii) to the extent allowed by the Court at any time, whether by interim order, final order, procedural order or otherwise, all unpaid fees, costs, and expenses (including any transaction fees or success fees) (collectively, the “</w:t>
      </w:r>
      <w:r>
        <w:rPr>
          <w:rFonts w:ascii="Times New Roman" w:cs="Times New Roman" w:eastAsia="Times New Roman" w:hAnsi="Times New Roman"/>
          <w:sz w:val="18"/>
          <w:szCs w:val="18"/>
          <w:b w:val="1"/>
          <w:bCs w:val="1"/>
          <w:i w:val="1"/>
          <w:iCs w:val="1"/>
          <w:color w:val="auto"/>
        </w:rPr>
        <w:t>Allowed Professional Fees</w:t>
      </w:r>
      <w:r>
        <w:rPr>
          <w:rFonts w:ascii="Times New Roman" w:cs="Times New Roman" w:eastAsia="Times New Roman" w:hAnsi="Times New Roman"/>
          <w:sz w:val="18"/>
          <w:szCs w:val="18"/>
          <w:color w:val="auto"/>
        </w:rPr>
        <w:t>”) earned, accrued, or incurred by persons or firms retained by the Debtors pursuant to section 327, 328, or 363 of the Bankruptcy Code, including Latham &amp; Watkins LLP, Hunton Andrews Kurth LLP, Huron Consulting Group, GLC Advisors &amp; Co. LLC and Pachulski Stang Ziehl &amp; Jones LLP (if retained with all parties’ rights to object to such retention fully preserved), and Steptoe LLP (if retained with all parties’ rights to object to such retention fully preserved) (collectively, the “</w:t>
      </w:r>
      <w:r>
        <w:rPr>
          <w:rFonts w:ascii="Times New Roman" w:cs="Times New Roman" w:eastAsia="Times New Roman" w:hAnsi="Times New Roman"/>
          <w:sz w:val="18"/>
          <w:szCs w:val="18"/>
          <w:b w:val="1"/>
          <w:bCs w:val="1"/>
          <w:i w:val="1"/>
          <w:iCs w:val="1"/>
          <w:color w:val="auto"/>
        </w:rPr>
        <w:t>Debtor Professionals</w:t>
      </w:r>
      <w:r>
        <w:rPr>
          <w:rFonts w:ascii="Times New Roman" w:cs="Times New Roman" w:eastAsia="Times New Roman" w:hAnsi="Times New Roman"/>
          <w:sz w:val="18"/>
          <w:szCs w:val="18"/>
          <w:color w:val="auto"/>
        </w:rPr>
        <w:t>”) at any time before or on the first business day following the delivery by the DIP Agent of a Carve-Out Trigger Notice (as defined below), whether allowed by the Court prior to or after delivery of a Carve-Out Trigger Notice and without regard to whether such Allowed Professional Fees are provided for in the Approved Budget or when invoiced; (iv) to the extent allowed by the Court at any time, whether by interim or final compensation order, procedural order, or otherwise, all unpaid Allowed Professional Fees earned, accrued or incurred by persons or firms retained by the Committee pursuant to section 328 or 1103 of the Bankruptcy Code (collectively, the “</w:t>
      </w:r>
      <w:r>
        <w:rPr>
          <w:rFonts w:ascii="Times New Roman" w:cs="Times New Roman" w:eastAsia="Times New Roman" w:hAnsi="Times New Roman"/>
          <w:sz w:val="18"/>
          <w:szCs w:val="18"/>
          <w:b w:val="1"/>
          <w:bCs w:val="1"/>
          <w:i w:val="1"/>
          <w:iCs w:val="1"/>
          <w:color w:val="auto"/>
        </w:rPr>
        <w:t>Committee Professionals</w:t>
      </w:r>
      <w:r>
        <w:rPr>
          <w:rFonts w:ascii="Times New Roman" w:cs="Times New Roman" w:eastAsia="Times New Roman" w:hAnsi="Times New Roman"/>
          <w:sz w:val="18"/>
          <w:szCs w:val="18"/>
          <w:color w:val="auto"/>
        </w:rPr>
        <w:t>” and, together with the Debtor Professionals, the “</w:t>
      </w:r>
      <w:r>
        <w:rPr>
          <w:rFonts w:ascii="Times New Roman" w:cs="Times New Roman" w:eastAsia="Times New Roman" w:hAnsi="Times New Roman"/>
          <w:sz w:val="18"/>
          <w:szCs w:val="18"/>
          <w:b w:val="1"/>
          <w:bCs w:val="1"/>
          <w:i w:val="1"/>
          <w:iCs w:val="1"/>
          <w:color w:val="auto"/>
        </w:rPr>
        <w:t>Professional Persons</w:t>
      </w:r>
      <w:r>
        <w:rPr>
          <w:rFonts w:ascii="Times New Roman" w:cs="Times New Roman" w:eastAsia="Times New Roman" w:hAnsi="Times New Roman"/>
          <w:sz w:val="18"/>
          <w:szCs w:val="18"/>
          <w:color w:val="auto"/>
        </w:rPr>
        <w:t>”) at any time before or on the first business day following the delivery by the DIP Agent of a Carve-Out Trigger Notice and without regard to whether such Allowed Professional Fees are provided for in the Approved Budget, whether allowed by the Court prior to or after delivery of a Carve-Out Trigger Notice or when invoiced, and subject to the investigation budget set forth in Paragraph 7(c) above (the aggregate amounts set forth in clauses (i) through (iv) above, the “</w:t>
      </w:r>
      <w:r>
        <w:rPr>
          <w:rFonts w:ascii="Times New Roman" w:cs="Times New Roman" w:eastAsia="Times New Roman" w:hAnsi="Times New Roman"/>
          <w:sz w:val="18"/>
          <w:szCs w:val="18"/>
          <w:b w:val="1"/>
          <w:bCs w:val="1"/>
          <w:i w:val="1"/>
          <w:iCs w:val="1"/>
          <w:color w:val="auto"/>
        </w:rPr>
        <w:t>Pre-Carve-Out 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 Amount</w:t>
      </w:r>
      <w:r>
        <w:rPr>
          <w:rFonts w:ascii="Times New Roman" w:cs="Times New Roman" w:eastAsia="Times New Roman" w:hAnsi="Times New Roman"/>
          <w:sz w:val="18"/>
          <w:szCs w:val="18"/>
          <w:color w:val="auto"/>
        </w:rPr>
        <w:t>”); and (v)(A) the Allowed Professional Fees of Debtor Professionals in an aggregate amount not to exceed $750,000, (B) separate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apart from the fees specified in Paragraph 8(a)(v)(A), any success fees or transaction fees earned by any investment banker retained by the Debtors pursuant to Section 327, 328, or 363 of the Bankruptcy Code during the Chapter 11 Cases, and (C) and Allowed Professional Fees of Committee Professionals in an aggregate amount not to exceed $250,000, in each case earned, accrued or incurred after the first business day following the date of delivery by the DIP Agent of the Carve-Out Trigger Notice in accordance with sub-paragraph (b) below (such date,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to the extent allowed by the Court at any time, whether by interim or final compensation order, procedural order, or otherwise (the amounts set forth in this clause (v) being the “</w:t>
      </w:r>
      <w:r>
        <w:rPr>
          <w:rFonts w:ascii="Times New Roman" w:cs="Times New Roman" w:eastAsia="Times New Roman" w:hAnsi="Times New Roman"/>
          <w:sz w:val="18"/>
          <w:szCs w:val="18"/>
          <w:b w:val="1"/>
          <w:bCs w:val="1"/>
          <w:i w:val="1"/>
          <w:iCs w:val="1"/>
          <w:color w:val="auto"/>
        </w:rPr>
        <w:t>Post-Carve-Out Trigger Notice Amount</w:t>
      </w:r>
      <w:r>
        <w:rPr>
          <w:rFonts w:ascii="Times New Roman" w:cs="Times New Roman" w:eastAsia="Times New Roman" w:hAnsi="Times New Roman"/>
          <w:sz w:val="18"/>
          <w:szCs w:val="18"/>
          <w:color w:val="auto"/>
        </w:rPr>
        <w:t>” and, together with the Pre-Carve-Out Trigger Notice Amount, the “</w:t>
      </w:r>
      <w:r>
        <w:rPr>
          <w:rFonts w:ascii="Times New Roman" w:cs="Times New Roman" w:eastAsia="Times New Roman" w:hAnsi="Times New Roman"/>
          <w:sz w:val="18"/>
          <w:szCs w:val="18"/>
          <w:b w:val="1"/>
          <w:bCs w:val="1"/>
          <w:i w:val="1"/>
          <w:iCs w:val="1"/>
          <w:color w:val="auto"/>
        </w:rPr>
        <w:t>Carve-Out Amount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ind w:firstLine="1304"/>
        <w:spacing w:after="0" w:line="253" w:lineRule="auto"/>
        <w:tabs>
          <w:tab w:leader="none" w:pos="15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“Carve-Out Trigger Notice” shall mean a written notice delivered by electronic mail (or other electronic means) by the DIP Agent (at the written direction of the DIP Lenders or Required DIP Lenders, as set forth in the DIP Credit Agreement) to the DIP Borrower, proposed counsel to the DIP Borrower, Latham &amp; Watkins LLP, 1271 Avenue of the Americas, New York, New York 10020, Attn: Ray C. Schrock (ray.schrock@lw.com), Ted A. Dillman (ted.dillman@lw.com), Natasha Hwangpo (natasha.hwangpo@lw.com), Randall Carl Weber-Levine (randall.weber-levine@lw.com), Ashley Gherlone Pezzi (ashley.pezzi@lw.com), and Thomas Fafara (thomas.fafara@lw.com) (“</w:t>
      </w:r>
      <w:r>
        <w:rPr>
          <w:rFonts w:ascii="Times New Roman" w:cs="Times New Roman" w:eastAsia="Times New Roman" w:hAnsi="Times New Roman"/>
          <w:sz w:val="18"/>
          <w:szCs w:val="18"/>
          <w:b w:val="1"/>
          <w:bCs w:val="1"/>
          <w:i w:val="1"/>
          <w:iCs w:val="1"/>
          <w:color w:val="auto"/>
        </w:rPr>
        <w:t>Debtors’ Counsel</w:t>
      </w:r>
      <w:r>
        <w:rPr>
          <w:rFonts w:ascii="Times New Roman" w:cs="Times New Roman" w:eastAsia="Times New Roman" w:hAnsi="Times New Roman"/>
          <w:sz w:val="18"/>
          <w:szCs w:val="18"/>
          <w:color w:val="auto"/>
        </w:rPr>
        <w:t>”); proposed co-counsel to the Debtors, Hunton Andrews Kurth LLP, 600 Travis Street, Suite 4200, Houston, Texas 77002, Attn: Timothy A. (“Tad”) Davidson II (taddavidson@hunton.com) Ashley L. Harper (ashleyharper@hunton.com) (“</w:t>
      </w:r>
      <w:r>
        <w:rPr>
          <w:rFonts w:ascii="Times New Roman" w:cs="Times New Roman" w:eastAsia="Times New Roman" w:hAnsi="Times New Roman"/>
          <w:sz w:val="18"/>
          <w:szCs w:val="18"/>
          <w:b w:val="1"/>
          <w:bCs w:val="1"/>
          <w:i w:val="1"/>
          <w:iCs w:val="1"/>
          <w:color w:val="auto"/>
        </w:rPr>
        <w:t>Debtors’ Co-Counsel</w:t>
      </w:r>
      <w:r>
        <w:rPr>
          <w:rFonts w:ascii="Times New Roman" w:cs="Times New Roman" w:eastAsia="Times New Roman" w:hAnsi="Times New Roman"/>
          <w:sz w:val="18"/>
          <w:szCs w:val="18"/>
          <w:color w:val="auto"/>
        </w:rPr>
        <w:t>”); (ii) the Office of the United States Trustee for Southern District of Texas; and (iii) proposed counsel to the Committee, Paul Hastings LLP, 200 Park Ave., New York, New York 10166, Attn: Kris Hansen (krishansen@paulhastings.com), Gabriel Sasson (gabesasson@paulhastings.com), Charles Persons (charlespersons@paulhastings.com), which notice (i) shall expressly state that the Post-Carve-Out Trigger Notice Amount has been invoked and (ii) may be delivered only following the occurrence and during the continuation of a Termination Event (as defined herein), the acceleration of the DIP Obligations under the DIP Documents, and the termination of the Debtors’ consensual use of Cash Collateral under this Final Order.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Escrow Account. </w:t>
      </w:r>
      <w:r>
        <w:rPr>
          <w:rFonts w:ascii="Times New Roman" w:cs="Times New Roman" w:eastAsia="Times New Roman" w:hAnsi="Times New Roman"/>
          <w:sz w:val="18"/>
          <w:szCs w:val="18"/>
          <w:color w:val="auto"/>
        </w:rPr>
        <w:t>From and after the Petition Date, the Debtors shall utilize cash on hand, the proceeds from the DIP Facility,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available cash thereafter held by any Debtors, including Cash Collateral, to fund, on a weekly basis, the Pre-Carve Out Trigger Notice Amount into a segregated account of the Debtors not subject to the control of any FBG DIP Secured Party, Twin DIP Secured Party, Prepetition Secured Party or any other secured party (the “</w:t>
      </w:r>
      <w:r>
        <w:rPr>
          <w:rFonts w:ascii="Times New Roman" w:cs="Times New Roman" w:eastAsia="Times New Roman" w:hAnsi="Times New Roman"/>
          <w:sz w:val="18"/>
          <w:szCs w:val="18"/>
          <w:b w:val="1"/>
          <w:bCs w:val="1"/>
          <w:i w:val="1"/>
          <w:iCs w:val="1"/>
          <w:color w:val="auto"/>
        </w:rPr>
        <w:t>Escrow Account</w:t>
      </w:r>
      <w:r>
        <w:rPr>
          <w:rFonts w:ascii="Times New Roman" w:cs="Times New Roman" w:eastAsia="Times New Roman" w:hAnsi="Times New Roman"/>
          <w:sz w:val="18"/>
          <w:szCs w:val="18"/>
          <w:color w:val="auto"/>
        </w:rPr>
        <w:t>”) in an amount equal to the greatest of (i) the aggregate unpaid amount of estimated fees, costs, and expenses of Professional Persons included in all Prior Week Estimates (as defined below) timely received by the Debtors in respect of the preceding week,</w:t>
      </w:r>
    </w:p>
    <w:p>
      <w:pPr>
        <w:jc w:val="both"/>
        <w:ind w:firstLine="8"/>
        <w:spacing w:after="0" w:line="251" w:lineRule="auto"/>
        <w:tabs>
          <w:tab w:leader="none" w:pos="2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unpaid amount of actual fees, costs, and expenses of Professional Persons earned, accrued or incurred at the applicable time and (iii) the aggregate amount of fees, costs, and expenses of Professional Persons provided for in the Approved Budget at the applicable time. The Escrow Account shall not be subject to the control, liens, security interests, or claims of the FBG DIP Secured Parties, the Twin DIP Secured Parties, the Prepetition Secured Parties or any other secured party, including the DIP Liens, the FBG DIP Superpriority Claims, the Twin DIP Superpriority Claims, Adequate Protection Liens, Adequate Protection Claims and any adequate protection liens and adequate protection claims of any other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(x) Prepetition Secured Parties’ Adequate Protection Liens and Adequate Protection Claims, (y) FBG DIP Secured Parties’ DIP Liens and FBG DIP Superpriority Claims, and (z) Twin DIP Secured Parties’ DIP Liens and Twin DIP Superpriority Claims, shall attach solely to the residual cash balance, if any, in the Escrow Account available following payment in full in cash of all Allowed Professional Fees payable under Paragraph 8(a) pursuant to a final order (the “</w:t>
      </w:r>
      <w:r>
        <w:rPr>
          <w:rFonts w:ascii="Times New Roman" w:cs="Times New Roman" w:eastAsia="Times New Roman" w:hAnsi="Times New Roman"/>
          <w:sz w:val="18"/>
          <w:szCs w:val="18"/>
          <w:b w:val="1"/>
          <w:bCs w:val="1"/>
          <w:i w:val="1"/>
          <w:iCs w:val="1"/>
          <w:color w:val="auto"/>
        </w:rPr>
        <w:t>Escrow Account Residual Balance</w:t>
      </w:r>
      <w:r>
        <w:rPr>
          <w:rFonts w:ascii="Times New Roman" w:cs="Times New Roman" w:eastAsia="Times New Roman" w:hAnsi="Times New Roman"/>
          <w:sz w:val="18"/>
          <w:szCs w:val="18"/>
          <w:color w:val="auto"/>
        </w:rPr>
        <w:t>”), which shall be allocated ratably to the extent the (x) proceeds of the FBG New Money DIP Loans or Twin New Money DIP Loans was funded into the Escrow Account, (y) Cash Collateral, if any, of such Prepetition Secured Party was funded into the Escrow Account, or (z) as otherwise ordered by the Court. Other than the Escrow Account Residual Balance, if any, the funds in the Escrow Account shall be available only to satisfy the obligations benefitting from the Carve-Out.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firstLine="1304"/>
        <w:spacing w:after="0" w:line="258" w:lineRule="auto"/>
        <w:tabs>
          <w:tab w:leader="none" w:pos="15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business day of each week, each Professional Person shall deliver to the Debtors and their advisors a weekly statement setting forth a good-faith estimate of the amount of accrued but unpaid fees, costs and expenses incurred by such Professional Person during the preceding week (the “</w:t>
      </w:r>
      <w:r>
        <w:rPr>
          <w:rFonts w:ascii="Times New Roman" w:cs="Times New Roman" w:eastAsia="Times New Roman" w:hAnsi="Times New Roman"/>
          <w:sz w:val="18"/>
          <w:szCs w:val="18"/>
          <w:b w:val="1"/>
          <w:bCs w:val="1"/>
          <w:i w:val="1"/>
          <w:iCs w:val="1"/>
          <w:color w:val="auto"/>
        </w:rPr>
        <w:t>Prior Week Estimate</w:t>
      </w:r>
      <w:r>
        <w:rPr>
          <w:rFonts w:ascii="Times New Roman" w:cs="Times New Roman" w:eastAsia="Times New Roman" w:hAnsi="Times New Roman"/>
          <w:sz w:val="18"/>
          <w:szCs w:val="18"/>
          <w:color w:val="auto"/>
        </w:rPr>
        <w:t>”), and the amount of cash to be transferred to the Escrow Account shall be increased or reduced (as applicable) by the difference between such Prior Week Estimate and amount funded into the Escrow Account for the prior week for such Professional Person (the “</w:t>
      </w:r>
      <w:r>
        <w:rPr>
          <w:rFonts w:ascii="Times New Roman" w:cs="Times New Roman" w:eastAsia="Times New Roman" w:hAnsi="Times New Roman"/>
          <w:sz w:val="18"/>
          <w:szCs w:val="18"/>
          <w:b w:val="1"/>
          <w:bCs w:val="1"/>
          <w:i w:val="1"/>
          <w:iCs w:val="1"/>
          <w:color w:val="auto"/>
        </w:rPr>
        <w:t>True-up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occurrence of the Trigger Date, each Professional Person shall promptly deliver one additional statement to the Debtors setting forth a good-faith estimate of the amount of accrued but unpaid fees and expenses incurred by such Professional Person during the period immediately following the most recent Prior Week Estimate previously delivered by such Professional Person through and including the Trigger Date, and the Debtors shall transfer such amounts to the Escrow Account, notwithstanding the occurrence of the Trigger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the Trigger Date, in the event the Escrow Account was not fully funded in line with any Professional Person’s prior estimates, the Debtors shall transfer the amount of cash to the Escrow Account to account for all unpaid fees and expenses incurred by such Professional Person on or before the Trigger Date. From and after the occurrence of the Trigger Date, all cash received by any Debtors from any source, including, without limitation, Cash Collateral, cash in the Segregated Accounts, proceeds of any asset sales or other dispositions, and the proceeds of the DIP Loans, shall be used to fund the Carve-Out Amount until the Escrow Account is funded in full in cash as provided above and held in trust to pay unpaid Allowed Professional Fees. Notwithstanding the Trigger Date, neither the Prepetition Secured Parties nor any other secured party, including, but not limited to, any secured party under the prepetition debt documents governing the Riverside Refi Loan, the Percent Promissory Notes, Waterfall Loan, and the Resid Notes, shall be permitted to exercise any remedies with respect to cash (including cash received as a result of the sale or other disposition of assets) of the Debtors or the Segregated Accounts unless and until the Escrow Account is funded in full in cash as provided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firstLine="1304"/>
        <w:spacing w:after="0" w:line="255" w:lineRule="auto"/>
        <w:tabs>
          <w:tab w:leader="none" w:pos="153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transferred to the Escrow Account shall be used solely to pay Allowed Professional Fees and the other fees or expenses specified in Paragraph 8(a), and then, to the extent the amount in the Escrow Account has not been reduced to zero, to pay the DIP Superpriority Claims and Adequate Protection Claims, as applicable, from the Escrow Account Residual Balance,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obligations to pay Allowed Professional Fees shall not be limited or deemed limited to funds held in the Escrow Account, the Budget,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anything contained herein to the contrary, neither the Carve-Out nor the Approved Budget shall constitute a cap or limitation on the amount of professional fees that may be allowed by the Court and due and payable by the Debtors. The DIP Secured Parties and the Prepetition Secured Parties shall have a valid and perfected security interest upon the Escrow Account Residual Balance, if any, pursuant to Paragraph 2(i)-(j) 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a Carve-Out Trigger Notice in accordance with sub-paragraph (b) above, such Carve-Out Trigger Notice shall constitute a demand to, and approval for, the Debtors to utilize all cash on hand as of such date and any available cash thereafter generated by the Debtors until the Carve-Out Amount is fully funded prior to the payment to any DIP Secured Party or Prepetition Secured Party on account of any claim or administrative expense held by such person or entity (whether postpetition, super priority, adequate protection, prepetition, or otherwise) to fund the Escrow Account in an amount equal to the Carve-Out Amount and to hold such amount in trust to pay the obligations benefitting from the Carve-Out.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Final Order, the DIP Documents, the Prepetition Documents, or any other prepetition debt documents, including, without limitation, the documents governing the Riverside Refi Loan, the Percent Promissory Notes, the Waterfall Loan, and the Resid Notes (each as defined in the First Day Declaration) (collectively, the “</w:t>
      </w:r>
      <w:r>
        <w:rPr>
          <w:rFonts w:ascii="Times New Roman" w:cs="Times New Roman" w:eastAsia="Times New Roman" w:hAnsi="Times New Roman"/>
          <w:sz w:val="18"/>
          <w:szCs w:val="18"/>
          <w:b w:val="1"/>
          <w:bCs w:val="1"/>
          <w:i w:val="1"/>
          <w:iCs w:val="1"/>
          <w:color w:val="auto"/>
        </w:rPr>
        <w:t>Funded Debt Documents</w:t>
      </w:r>
      <w:r>
        <w:rPr>
          <w:rFonts w:ascii="Times New Roman" w:cs="Times New Roman" w:eastAsia="Times New Roman" w:hAnsi="Times New Roman"/>
          <w:sz w:val="18"/>
          <w:szCs w:val="18"/>
          <w:color w:val="auto"/>
        </w:rPr>
        <w:t>”), all claims and administrative expenses arising under, with respect to, or in connection with any of the Funded Debt Documents (including the DIP Obligations, the Adequate Protection Claims, the DIP Superpriority Claims, the Prepetition Secured Obligations, and the Intercompany Claims), any other claims arising under section 507(b) or 503 of the Bankruptcy Code, and all security interests and liens securing such claims and administrative expenses (including the DIP Liens, the Prepetition Liens, the Adequate Protection Liens, the Permitted Prior Liens, and the Intercompany Claims) or any other liens shall, in each case, be subject and subordinate to the payment in full in cash of the Carve-Out.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1304"/>
        <w:spacing w:after="0" w:line="253" w:lineRule="auto"/>
        <w:tabs>
          <w:tab w:leader="none" w:pos="15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Final Order, the DIP Documents or any Prepetition Document or other applicable prepetition debt documents, (i) the failure of the Escrow Account to satisfy in full the Allowed Professional Fees of the Professional Persons shall not affect, limit, or otherwise modify the scope or priority of the Carve-Out, (ii) in no way shall any Budget, the Carve-Out, the Escrow Account, or any other budget or financial projection delivered in connection with any Prepetition Document be construed as a cap or limitation on the amount of Allowed Professional Fees due and payable by the Debtors or that may be allowed by the Court at any time (including on an interim basis), (iii) the Debtors’ authority to use proceeds from the DIP Facility, the DIP Collateral, the Prepetition Collateral, funds in the Segregated Accounts and/or Cash Collateral on account of, and to timely pay, the Allowed Professional Fees and the other obligations benefitting from the Carve-Out shall in no way be limited or deemed limited by any Budget and (iv) in no way shall the Carve-Out or the Escrow Account modify the quantum of Allowed Professional Fees allocated to the Securitization Entities, on the one hand, and the Manager, on the other hand, as set forth in the Stipulated Allocation. Notwithstanding anything to the contrary in this Final Order, for the avoidance of doubt, the Stipulated Allocation shall not limit the Debtors’ obligations to pay professional fees benefiting from the Carve-Out and the Carve-Out shall in no way be limited by the Stipulated Allocation.</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the Termination Date, the Debtors shall be permitted to pay Allowed Professional Fees (including on an interim basis), and such payments shall not reduce or be deemed to modify the Carve-Out and Post-Carve-Out Trigger Notice Amount.</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Compensation</w:t>
      </w:r>
      <w:r>
        <w:rPr>
          <w:rFonts w:ascii="Times New Roman" w:cs="Times New Roman" w:eastAsia="Times New Roman" w:hAnsi="Times New Roman"/>
          <w:sz w:val="18"/>
          <w:szCs w:val="18"/>
          <w:color w:val="auto"/>
        </w:rPr>
        <w:t>. Without affecting, limiting, or otherwise modifying the scope or priority of the Carve-Out, nothing herein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as a consent to the allowance of any professional fees or expenses of any of the Debtors or the Committee or shall limit or otherwise affect the right of the DIP Secured Parties and/or the Prepetition Secured Parties or any other party in interest to object to the allowance and payment of any such fees and expenses.</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506(c) Claims</w:t>
      </w:r>
      <w:r>
        <w:rPr>
          <w:rFonts w:ascii="Times New Roman" w:cs="Times New Roman" w:eastAsia="Times New Roman" w:hAnsi="Times New Roman"/>
          <w:sz w:val="18"/>
          <w:szCs w:val="18"/>
          <w:color w:val="auto"/>
        </w:rPr>
        <w:t>. As a further condition of the DIP Facility, any obligation of the DIP Secured Parties to make DIP Loans,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authorization to use Cash Collateral, the Debtors (and any successors thereto or any representatives thereof, including any trustees appointed in the Chapter 11 Cases or any Successor Case) shall be deemed to have waived any rights, benefits or causes of action under section 506(c) of the Bankruptcy Code as they may relate to or be asserted against the DIP Secured Parties, the Prepetition Secured Parties, the Prepetition Liens of the Prepetition Secured Parties or the Prepetition Collateral of the Prepetition Secured Parties. Save and except for the Carve-Out, nothing contained in this Final Order or in the other DIP Documents shall be deemed a consent by the Prepetition Secured Parties or the DIP Secured Parties to any charge, lien, assessment or claim against, or in respect of, the DIP Collateral or the Prepetition Collateral under section 506(c) of the Bankruptcy Code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656"/>
        <w:spacing w:after="0" w:line="255" w:lineRule="auto"/>
        <w:tabs>
          <w:tab w:leader="none" w:pos="9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Collateral Rights; Limitations in Respect of Subsequent Court Orders</w:t>
      </w:r>
      <w:r>
        <w:rPr>
          <w:rFonts w:ascii="Times New Roman" w:cs="Times New Roman" w:eastAsia="Times New Roman" w:hAnsi="Times New Roman"/>
          <w:sz w:val="18"/>
          <w:szCs w:val="18"/>
          <w:color w:val="auto"/>
        </w:rPr>
        <w:t>. Without limiting any other provisions of this Final Order,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DIP Agent and the Prepetition Trustees have provided their prior written consent or all DIP Obligations have been paid in full, there shall not be entered in any of the Chapter 11 Cases, or in any Successor Cases, any order which authorizes (i) the obtaining of credit or the incurring of indebtedness that is secured by a security, mortgage, or collateral interest or other lien on all or any portion of the DIP Collateral and/or entitled to priority administrative status, in each case, which is superior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those granted pursuant to this Final Order to or for the benefit of the DIP Secured Parties or the Prepetition Secured Parties, or (ii) the use of Cash Collateral for any purpose other than to pay in full the DIP Obligations or as otherwise set forth in this Final Order, the Approved Budget or the DIP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affect, modify or limit the scope or priority of the Carve-Out.</w:t>
      </w:r>
    </w:p>
    <w:p>
      <w:pPr>
        <w:spacing w:after="0" w:line="184"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Management</w:t>
      </w:r>
      <w:r>
        <w:rPr>
          <w:rFonts w:ascii="Times New Roman" w:cs="Times New Roman" w:eastAsia="Times New Roman" w:hAnsi="Times New Roman"/>
          <w:sz w:val="18"/>
          <w:szCs w:val="18"/>
          <w:color w:val="auto"/>
        </w:rPr>
        <w:t>. Any DIP Loans or other proceeds of the DIP Facility that shall at any time come into the possession, custody, or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Debtors may only be held in the Segregated Accounts, and shall be disbursed in accordance with the terms and conditions set forth in this Final Order and the DIP Credit Agreement. The Debtors’ cash management system shall at all times be maintained in accordance with the terms of the DIP Documents and the </w:t>
      </w:r>
      <w:r>
        <w:rPr>
          <w:rFonts w:ascii="Times New Roman" w:cs="Times New Roman" w:eastAsia="Times New Roman" w:hAnsi="Times New Roman"/>
          <w:sz w:val="18"/>
          <w:szCs w:val="18"/>
          <w:i w:val="1"/>
          <w:iCs w:val="1"/>
          <w:color w:val="auto"/>
        </w:rPr>
        <w:t>Final Order (I) Authorizing Debtors to (A) Continue Existing Cash Management System, (B) Maintain Existing Business Forms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Intercompany Arrangements, and (C) Continue Intercompany Transactions; and (II) Granting Related Relief </w:t>
      </w:r>
      <w:r>
        <w:rPr>
          <w:rFonts w:ascii="Times New Roman" w:cs="Times New Roman" w:eastAsia="Times New Roman" w:hAnsi="Times New Roman"/>
          <w:sz w:val="18"/>
          <w:szCs w:val="18"/>
          <w:color w:val="auto"/>
        </w:rPr>
        <w:t>[Docket No. 281]. Until the DIP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been indefeasibly paid in full, the DIP Agent, on behalf of the DIP Secured Parties, shall be deemed to have liens on all Segregated Accounts of the Debtors (in each case consistent with the priorities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for all purposes of perfection under the Uniform Commercial Code. Notwithstanding anything to the contrary herein or in the DIP Documents, no DIP Loan Party shall transfer any funds (including, without limitation, any proceeds of DIP Collateral or any of the Prepetition Secured Parties’ Cash Collateral) to any Debtor that is not a DIP Loan Party or to any of the Debtors’ non-Debtor affiliates (or to a deposit account held or controlled by any such party that is not a DIP Loan Party) except as expressly permitted pursuant to the DIP Documents, or with the prior written consent of the Required DIP Lenders, or by further order of the Court.</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Intercompany Claims</w:t>
      </w:r>
      <w:r>
        <w:rPr>
          <w:rFonts w:ascii="Times New Roman" w:cs="Times New Roman" w:eastAsia="Times New Roman" w:hAnsi="Times New Roman"/>
          <w:sz w:val="18"/>
          <w:szCs w:val="18"/>
          <w:color w:val="auto"/>
        </w:rPr>
        <w:t>. To secure any postpetition intercompany balances owing by one Debtor to another Debtor (including amounts 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Debtor under the Stipulated Allocation that are paid by another Debtor) (the “</w:t>
      </w:r>
      <w:r>
        <w:rPr>
          <w:rFonts w:ascii="Times New Roman" w:cs="Times New Roman" w:eastAsia="Times New Roman" w:hAnsi="Times New Roman"/>
          <w:sz w:val="18"/>
          <w:szCs w:val="18"/>
          <w:b w:val="1"/>
          <w:bCs w:val="1"/>
          <w:i w:val="1"/>
          <w:iCs w:val="1"/>
          <w:color w:val="auto"/>
        </w:rPr>
        <w:t>Intercompany Claims</w:t>
      </w:r>
      <w:r>
        <w:rPr>
          <w:rFonts w:ascii="Times New Roman" w:cs="Times New Roman" w:eastAsia="Times New Roman" w:hAnsi="Times New Roman"/>
          <w:sz w:val="18"/>
          <w:szCs w:val="18"/>
          <w:color w:val="auto"/>
        </w:rPr>
        <w:t>”), each Debtor is hereby granted, in each case without the necessity of the execution by the Debtors (or recordation or other filing) of security agreements, pledge agreements, financing statements, mortgages, or other similar documents, or by possession or control, a security interest in and lien on all of each Debtor’s now-owned and hereafter-acquired real and personal property, assets and rights, including all prepetition property and postpetition property of the DIP Loan Parties of any kind or nature, to the extent of any postpetition Intercompany Claim owed to such Debtor by any other Debtor (the “</w:t>
      </w:r>
      <w:r>
        <w:rPr>
          <w:rFonts w:ascii="Times New Roman" w:cs="Times New Roman" w:eastAsia="Times New Roman" w:hAnsi="Times New Roman"/>
          <w:sz w:val="18"/>
          <w:szCs w:val="18"/>
          <w:b w:val="1"/>
          <w:bCs w:val="1"/>
          <w:i w:val="1"/>
          <w:iCs w:val="1"/>
          <w:color w:val="auto"/>
        </w:rPr>
        <w:t>Intercompany Liens</w:t>
      </w:r>
      <w:r>
        <w:rPr>
          <w:rFonts w:ascii="Times New Roman" w:cs="Times New Roman" w:eastAsia="Times New Roman" w:hAnsi="Times New Roman"/>
          <w:sz w:val="18"/>
          <w:szCs w:val="18"/>
          <w:color w:val="auto"/>
        </w:rPr>
        <w:t xml:space="preserve">”), which Intercompany Liens shall in each case be subject to the priorities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otherwise subordinate to the Carve-Out and the Permitted Prior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Intercompany Liens shall not attach to the Debtors’ non-residential real property leases (except to the extent such non-residential real property leases constitute Prepetition Collateral) but shall include the proceeds of such leases. Notwithstanding anything to the contrary in this Final Order, amounts transferred from any Securitization Entity to FBG Manager or Twin Manager to pay Management Fees (i) shall not give rise to Intercompany Claims or Intercompany Liens as between such Securitization Entity and such Manager and (ii) shall be made with proceeds of the DIP Facility.</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Disposition of DIP Collateral</w:t>
      </w:r>
      <w:r>
        <w:rPr>
          <w:rFonts w:ascii="Times New Roman" w:cs="Times New Roman" w:eastAsia="Times New Roman" w:hAnsi="Times New Roman"/>
          <w:sz w:val="18"/>
          <w:szCs w:val="18"/>
          <w:color w:val="auto"/>
        </w:rPr>
        <w:t>. Until the DIP Obligations have been indefeasibly paid in full, the Debtors shall not sell, transfer,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 or otherwise dispose of any portion of the DIP Collateral, except as in the ordinary course of business or as otherwise permitted by the DIP Documents or subject to further order of the Court.</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Survival of Certain Provisions</w:t>
      </w:r>
      <w:r>
        <w:rPr>
          <w:rFonts w:ascii="Times New Roman" w:cs="Times New Roman" w:eastAsia="Times New Roman" w:hAnsi="Times New Roman"/>
          <w:sz w:val="18"/>
          <w:szCs w:val="18"/>
          <w:color w:val="auto"/>
        </w:rPr>
        <w:t>. In the event of the entry of any order converting any of the Chapter 11 Cases into a Successor Case, the DIP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Liens, the DIP Superpriority Claims, the Adequate Protection Liens, the Adequate Protection Claims and the Carve-Out shall continue in these proceedings and in any Successor Case, and such DIP Liens, DIP Superpriority Claims, Adequate Protection Liens, Adequate Protection Claims and Carve-Out shall maintain their respective priorities as provided by this Final Order.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ind w:left="920" w:hanging="264"/>
        <w:spacing w:after="0"/>
        <w:tabs>
          <w:tab w:leader="none" w:pos="9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Events of Default; Rights and Remedies Upon Event of Default</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shall mean the earliest to occur of (in each case, unless waived in writing by the DIP Agent (at the written direction of the Required DIP Lenders), and each of the following events, a “</w:t>
      </w:r>
      <w:r>
        <w:rPr>
          <w:rFonts w:ascii="Times New Roman" w:cs="Times New Roman" w:eastAsia="Times New Roman" w:hAnsi="Times New Roman"/>
          <w:sz w:val="18"/>
          <w:szCs w:val="18"/>
          <w:b w:val="1"/>
          <w:bCs w:val="1"/>
          <w:i w:val="1"/>
          <w:iCs w:val="1"/>
          <w:color w:val="auto"/>
        </w:rPr>
        <w:t>Termination Event</w:t>
      </w:r>
      <w:r>
        <w:rPr>
          <w:rFonts w:ascii="Times New Roman" w:cs="Times New Roman" w:eastAsia="Times New Roman" w:hAnsi="Times New Roman"/>
          <w:sz w:val="18"/>
          <w:szCs w:val="18"/>
          <w:color w:val="auto"/>
        </w:rPr>
        <w:t xml:space="preserve">”): (i) the Maturity Date (as such term is defined in the DIP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may be extended with the written consent of the Required Lenders (which consent may be conveyed to the DIP Agent and evidenced by email confirmation from White &amp; Case LLP and the DIP Lenders hereby instruct the DIP Agent to conclusively rely on (and the DIP Agent shall be fully protected in doing so) such email confirmation without further approval from any Person);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occurrence of the Maturity Date shall not constitute a Termination Event if the DIP Obligations have been paid in full prior to such date or successfully credit bid in a transaction that closed prior to such date (in which case this Final Order shall solely govern the Debtors’ use of Cash Collateral through the Termination Date), (ii) the consummation of a sale of all or substantially all of the assets of the Debtors pursuant to section 363 of the Bankruptcy Code;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sale to which the Required DIP Lenders have consented pursuant to the Bidding Procedures Order shall not constitute a Termination Event,</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consummation (as defined in section 1101 of the Bankruptcy Code and which for purposes hereof shall be no later than the “effective date” thereof) of a plan of reorganization or liquidation filed in the Chapter 11 Cases that is confirmed pursuant to an order entered by the Court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(iv) the acceleration of the loans and the termination of all commitments upon the occurrence of an Event of Default (as such term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defined in the DIP Credit Agreement) or otherwise in accordance with the terms of the DIP Documents. For the avoidance of doubt, the Closing (as defined in the applicable Sale Orders) shall result in the full satisfaction of the DIP Obligations and, after the Closing, the provisions of this Final Order applicable to the DIP Facilities, including any consent rights of Required DIP Lenders or otherwise, shall no longer apply and this Final Order, in conjunction with the Settlement Order, shall solely govern the Debtors’ use of Cash Collateral through the Termination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to the extent that there is a conflict between the terms of this Final Order and the Settlement Order after the Closing, the terms of the Settlement Order shall control.</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continuation of a Termination Event, the automatic stay is hereby modified, without further notice, hearing, motion, order or action of any other kind, to (x) permit the DIP Agent, acting at the written direction of the DIP Lenders, or the Required DIP Lenders, as set forth in the DIP Credit Agreement, to: (i) provide written notice of the occurrence of an Event of Default (a “</w:t>
      </w:r>
      <w:r>
        <w:rPr>
          <w:rFonts w:ascii="Times New Roman" w:cs="Times New Roman" w:eastAsia="Times New Roman" w:hAnsi="Times New Roman"/>
          <w:sz w:val="18"/>
          <w:szCs w:val="18"/>
          <w:b w:val="1"/>
          <w:bCs w:val="1"/>
          <w:i w:val="1"/>
          <w:iCs w:val="1"/>
          <w:color w:val="auto"/>
        </w:rPr>
        <w:t>Remedies Notice</w:t>
      </w:r>
      <w:r>
        <w:rPr>
          <w:rFonts w:ascii="Times New Roman" w:cs="Times New Roman" w:eastAsia="Times New Roman" w:hAnsi="Times New Roman"/>
          <w:sz w:val="18"/>
          <w:szCs w:val="18"/>
          <w:color w:val="auto"/>
        </w:rPr>
        <w:t>”) to Debtors’ Counsel, Debtors’ Co-Counsel, the U.S. Trustee, the Prepetition Trustees, the indenture trustee for the Resid Notes (the “</w:t>
      </w:r>
      <w:r>
        <w:rPr>
          <w:rFonts w:ascii="Times New Roman" w:cs="Times New Roman" w:eastAsia="Times New Roman" w:hAnsi="Times New Roman"/>
          <w:sz w:val="18"/>
          <w:szCs w:val="18"/>
          <w:b w:val="1"/>
          <w:bCs w:val="1"/>
          <w:i w:val="1"/>
          <w:iCs w:val="1"/>
          <w:color w:val="auto"/>
        </w:rPr>
        <w:t>Resid Trustee</w:t>
      </w:r>
      <w:r>
        <w:rPr>
          <w:rFonts w:ascii="Times New Roman" w:cs="Times New Roman" w:eastAsia="Times New Roman" w:hAnsi="Times New Roman"/>
          <w:sz w:val="18"/>
          <w:szCs w:val="18"/>
          <w:color w:val="auto"/>
        </w:rPr>
        <w:t>”), and counsel to the Committee (collectively, the “</w:t>
      </w:r>
      <w:r>
        <w:rPr>
          <w:rFonts w:ascii="Times New Roman" w:cs="Times New Roman" w:eastAsia="Times New Roman" w:hAnsi="Times New Roman"/>
          <w:sz w:val="18"/>
          <w:szCs w:val="18"/>
          <w:b w:val="1"/>
          <w:bCs w:val="1"/>
          <w:i w:val="1"/>
          <w:iCs w:val="1"/>
          <w:color w:val="auto"/>
        </w:rPr>
        <w:t>Remedies Notice Parties</w:t>
      </w:r>
      <w:r>
        <w:rPr>
          <w:rFonts w:ascii="Times New Roman" w:cs="Times New Roman" w:eastAsia="Times New Roman" w:hAnsi="Times New Roman"/>
          <w:sz w:val="18"/>
          <w:szCs w:val="18"/>
          <w:color w:val="auto"/>
        </w:rPr>
        <w:t xml:space="preserve">”); and (ii) declare all commitments of the DIP Lenders to provide any DIP Loans immediately suspended, and the Debtors shall have no right to request or use any proceeds of any DIP Loans or DIP Collateral, or to use Cash Collateral (without the written consent of the applicable Prepetition Noteholders); and (y) for the Prepetition Trustees to declare that the Debtors’ use of the Prepetition Secured Parties’ Cash Collateral is terminated and the Debtors shall have no right to use such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Remedies Notice Period (defined below), the Debtors shall be permitted to continue to use such Cash Collateral (first from any source other than cash in the Segregated Accounts and thereafter from the Segregated Accounts) and the proceeds of the DIP Facility solely in the ordinary course of business, in accordance with the Approved Budget, or towards the satisfaction of the Carve-Out, as provided in this Final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both"/>
        <w:ind w:firstLine="1304"/>
        <w:spacing w:after="0" w:line="252" w:lineRule="auto"/>
        <w:tabs>
          <w:tab w:leader="none" w:pos="15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continuation of a Termination Event, and following delivery of a Remedies Notice, but prior to exercising the remedies set forth in this Paragraph 16(c), the DIP Agent, on behalf of and acting at the written direction of the DIP Lenders, or Required DIP Lenders, as set forth in the DIP Credit Agreement, shall be required to file a motion with the Court seeking emergency relief (a “</w:t>
      </w:r>
      <w:r>
        <w:rPr>
          <w:rFonts w:ascii="Times New Roman" w:cs="Times New Roman" w:eastAsia="Times New Roman" w:hAnsi="Times New Roman"/>
          <w:sz w:val="18"/>
          <w:szCs w:val="18"/>
          <w:b w:val="1"/>
          <w:bCs w:val="1"/>
          <w:i w:val="1"/>
          <w:iCs w:val="1"/>
          <w:color w:val="auto"/>
        </w:rPr>
        <w:t>Stay Relief Motion</w:t>
      </w:r>
      <w:r>
        <w:rPr>
          <w:rFonts w:ascii="Times New Roman" w:cs="Times New Roman" w:eastAsia="Times New Roman" w:hAnsi="Times New Roman"/>
          <w:sz w:val="18"/>
          <w:szCs w:val="18"/>
          <w:color w:val="auto"/>
        </w:rPr>
        <w:t>” and the hearing on such motion, the “</w:t>
      </w:r>
      <w:r>
        <w:rPr>
          <w:rFonts w:ascii="Times New Roman" w:cs="Times New Roman" w:eastAsia="Times New Roman" w:hAnsi="Times New Roman"/>
          <w:sz w:val="18"/>
          <w:szCs w:val="18"/>
          <w:b w:val="1"/>
          <w:bCs w:val="1"/>
          <w:i w:val="1"/>
          <w:iCs w:val="1"/>
          <w:color w:val="auto"/>
        </w:rPr>
        <w:t>Stay Relief Hearing</w:t>
      </w:r>
      <w:r>
        <w:rPr>
          <w:rFonts w:ascii="Times New Roman" w:cs="Times New Roman" w:eastAsia="Times New Roman" w:hAnsi="Times New Roman"/>
          <w:sz w:val="18"/>
          <w:szCs w:val="18"/>
          <w:color w:val="auto"/>
        </w:rPr>
        <w:t>”) on not less than five (5) business days’ notice (the “</w:t>
      </w:r>
      <w:r>
        <w:rPr>
          <w:rFonts w:ascii="Times New Roman" w:cs="Times New Roman" w:eastAsia="Times New Roman" w:hAnsi="Times New Roman"/>
          <w:sz w:val="18"/>
          <w:szCs w:val="18"/>
          <w:b w:val="1"/>
          <w:bCs w:val="1"/>
          <w:i w:val="1"/>
          <w:iCs w:val="1"/>
          <w:color w:val="auto"/>
        </w:rPr>
        <w:t>Remedies Notice Period</w:t>
      </w:r>
      <w:r>
        <w:rPr>
          <w:rFonts w:ascii="Times New Roman" w:cs="Times New Roman" w:eastAsia="Times New Roman" w:hAnsi="Times New Roman"/>
          <w:sz w:val="18"/>
          <w:szCs w:val="18"/>
          <w:color w:val="auto"/>
        </w:rPr>
        <w:t>”) for a further order of the Court modifying the automatic stay to permit (A) the FBG DIP Agent, on behalf of the FBG DIP Secured Parties, to (i) foreclose on, or otherwise enforce and realize on, its FBG DIP Liens on all or any portion of the FBG DIP Collateral, including by collecting accounts receivable and applying the proceeds thereof to the FBG DIP Obligations, or (ii) to require the Debtors to deliver and/or cause the delivery of the proceeds of the FBG DIP Loans and the FBG DIP Collateral to the FBG DIP Agent as provided herein and in the FBG DIP Documents and (B) the Twin DIP Agent, on behalf of the Twin DIP Secured Parties, to (i) foreclose on, or otherwise enforce and realize on, its Twin DIP Liens on all or any portion of the Twin DIP Collateral, including by collecting accounts receivable and applying the proceeds thereof to the Twin DIP Obligations, or (ii) to require the Debtors to deliver and/or cause the delivery of the proceeds of the Twin DIP Loans and the Twin DIP Collateral to the Twin DIP Agent as provided herein and in the Twin DIP Documents, in each case subject to the payment or reservation in full in cash of the Carve-Out as set forth in Paragraph 8. In the event the Court determines at the Stay Relief Hearing that a Termination Event has occurred, the Court may fashion an appropriate remedy, which remedy may include permitting the exercise of any and all rights available to the DIP Secured Parties under the DIP Documents, this Final Order, and/or applicable state law, as applicable.</w:t>
      </w:r>
    </w:p>
    <w:p>
      <w:pPr>
        <w:spacing w:after="0" w:line="19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the Termination Date (but subject to the provisions of Paragraph 16(c) hereof), the DIP Agent and the Prepetition Trustees (at the written direction of the DIP Lenders, or Required DIP Lenders, as set forth in the DIP Credit Agreement, or similar such term under and as defined in the Prepetition Documents, respectively) are authorized to exercise all remedies and proceed under or pursuant to the applicable DIP Documents and the Prepetition Documents. Subject to the payment or reservation in full in cash of the Carve-Out as set forth in Paragraph 8, all proceeds realized in connection with the exercise of the rights and remedies of the applicable DIP Secured Parties and Prepetition Secured Parties shall be turned over and applied in accordance with the applicable priority set forth in this Final Order, including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firstLine="1304"/>
        <w:spacing w:after="0" w:line="258" w:lineRule="auto"/>
        <w:tabs>
          <w:tab w:leader="none" w:pos="15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stay imposed under section 362(a) of the Bankruptcy Code is hereby modified pursuant to the terms of the DIP Documents as necessary to (i) permit the Debtors to grant the Adequate Protection Liens and the DIP Liens and to incur all DIP Obligations and all liabilities and obligations to the Prepetition Secured Parties hereunder and under the other DIP Documents, as the case may be, and (ii) authorize the DIP Agent and the Prepetition Trustees to retain and apply payments, and otherwise enforce their respective rights and remedies hereunder subject to the provisions of Paragraph 16(c) 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included herein shall prejudice, impair or otherwise affect the Prepetition Trustees’ or the DIP Agent’s rights to seek (on behalf of the Prepetition Secured Parties and the other DIP Secured Parties, respectively) any other or supplemental relief in respect of the Debtors (including, as the case may be, other or additional adequate protection;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or alternative adequate protection shall at all times be subordinate and junior to the Carve-Out).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Proofs of Claim</w:t>
      </w:r>
      <w:r>
        <w:rPr>
          <w:rFonts w:ascii="Times New Roman" w:cs="Times New Roman" w:eastAsia="Times New Roman" w:hAnsi="Times New Roman"/>
          <w:sz w:val="18"/>
          <w:szCs w:val="18"/>
          <w:color w:val="auto"/>
        </w:rPr>
        <w:t>. None of the Prepetition Secured Parties nor the DIP Secured Parties shall be required to file proofs of claim in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Chapter 11 Cases or any Successor Case for any claim described herein. Notwithstanding any order entered by the Court in relation to the establishment of a bar date in any of the Chapter 11 Cases or any Successor Case to the contrary, each Prepetition Trustee, on behalf of itself and the other applicable Prepetition Secured Parties, and the DIP Agent (acting at the written direction of the Required DIP Lenders), on behalf of itself and the other DIP Secured Parties, respectively, are hereby authorized and entitled, but not required, to file (and amend and/or supplement, as each sees fit) a proof of claim and/or aggregate proofs of claim in any of the Chapter 11 Cases or any Successor Case for any claim described herein; for avoidance of doubt, any such proof of claim (i) may (but is not required to be) be filed against the lead Debtor as one consolidated proof of claim against all of the Debtors, rather than as separate proofs of claim against each Debtor, and (ii) shall not be required to attach copies of any Prepetition Documents. Any proof of claim filed by any Prepetition Trustee for the applicable Prepetition Secured Parties or the DIP Agent shall be deemed to be in addition to and not in lieu of any other proof of claim that may be filed by any of the respective Prepetition Secured Parties or DIP Secured Parties. Any order entered by the Court in relation to the establishment of a bar date for any claim (including without limitation administrative claims) in any of the Chapter 11 Cases or any Successor Case shall not apply to the Prepetition Trustees for the Prepetition Secured Parties, the Prepetition Secured Parties, the DIP Agent, or the other DIP Secured Parties.</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Rights and Obligations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Faith Under Section 364(e) of the Bankruptcy Code; No Modification or Stay of this Final Order</w:t>
      </w:r>
      <w:r>
        <w:rPr>
          <w:rFonts w:ascii="Times New Roman" w:cs="Times New Roman" w:eastAsia="Times New Roman" w:hAnsi="Times New Roman"/>
          <w:sz w:val="18"/>
          <w:szCs w:val="18"/>
          <w:color w:val="auto"/>
        </w:rPr>
        <w:t>. Based on the findings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Final Order and in accordance with section 364(e) of the Bankruptcy Code, which is applicable to the DIP Facility as approved by this Final Order, the reversal or modification on appeal of the authorization hereunder for the Debtors to obtain the DIP Facility, or the grant hereunder of the DIP Liens and the Adequate Protection Liens, shall not affect the validity of such debt or the priority of such liens.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1304"/>
        <w:spacing w:after="0" w:line="256" w:lineRule="auto"/>
        <w:tabs>
          <w:tab w:leader="none" w:pos="15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To the fullest extent provided in the DIP Documents and this Final Order (and without limiting the Debtors’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thereunder), the applicable Debtors shall pay all reasonable and documented out-of-pocket expenses incurred by the DIP Secured Parties, the Prepetition Trustees for the Prepetition Secured Parties, and the Prepetition Noteholders, whether arising prior to or after the Petition Date, in connection with the preparation, execution, delivery, funding and administration of the DIP Documents, including, without limitation, (i) all due diligence fees and expenses incurred or sustained in connection with the DIP Documents, (ii) the administration of the Prepetition Documents, (iii) the Chapter 11 Cases or any Successor Case, or (iv) enforcement of any rights or remedies under the DIP Documents or the Prepetition Documents, in each case whether or not the transactions contemplated hereby are fully consummated.</w:t>
      </w:r>
    </w:p>
    <w:p>
      <w:pPr>
        <w:spacing w:after="0" w:line="182"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Professional Fees</w:t>
      </w:r>
      <w:r>
        <w:rPr>
          <w:rFonts w:ascii="Times New Roman" w:cs="Times New Roman" w:eastAsia="Times New Roman" w:hAnsi="Times New Roman"/>
          <w:sz w:val="18"/>
          <w:szCs w:val="18"/>
          <w:color w:val="auto"/>
        </w:rPr>
        <w:t>. The Prepetition Noteholders, the Prepetition Trustees, the DIP Agent and the other DIP Secured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advisors and professionals, shall not be required to comply with the U.S. Trustee fee guidelines, but shall provide reasonably detailed statements (redacted if necessary for privileged, confidential or otherwise sensitive information, as to those statements provided to any party other than the U.S. Trustee) for fees and expenses incurred after entry of the Interim Order to the U.S. Trustee, Debtors’ Counsel, Debtors’ Co-Counsel, and counsel for the Committee. These statements shall be sufficiently detailed to enable a determination as to the reasonableness of such fees and expenses, but detailed time records shall not be required. Thereafter, within ten (10) calendar days of presentment of such statements, if no written objections to the reasonableness of the fees and expenses charged in any such invoice (or portion thereof) is made, the Debtors shall pay in cash all such fees and expenses of the Prepetition Noteholders, Prepetition Trustees, the DIP Agent, and the other DIP Secured Parties, and their respective advisors and professionals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Professionals</w:t>
      </w:r>
      <w:r>
        <w:rPr>
          <w:rFonts w:ascii="Times New Roman" w:cs="Times New Roman" w:eastAsia="Times New Roman" w:hAnsi="Times New Roman"/>
          <w:sz w:val="18"/>
          <w:szCs w:val="18"/>
          <w:color w:val="auto"/>
        </w:rPr>
        <w:t>”). If the Debtors, the U.S. Trustee, or the Committee object to the reasonableness of the fees and expenses of any of the Lender Professionals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cannot resolve such objection within ten (10) calendar days of receipt of such invoices, then the Debtors, U.S. Trustee, or the Committee, as the case may be, shall file with this Court and serve on such Lender Professionals an objection (a “</w:t>
      </w:r>
      <w:r>
        <w:rPr>
          <w:rFonts w:ascii="Times New Roman" w:cs="Times New Roman" w:eastAsia="Times New Roman" w:hAnsi="Times New Roman"/>
          <w:sz w:val="18"/>
          <w:szCs w:val="18"/>
          <w:b w:val="1"/>
          <w:bCs w:val="1"/>
          <w:i w:val="1"/>
          <w:iCs w:val="1"/>
          <w:color w:val="auto"/>
        </w:rPr>
        <w:t>Fee Objection</w:t>
      </w:r>
      <w:r>
        <w:rPr>
          <w:rFonts w:ascii="Times New Roman" w:cs="Times New Roman" w:eastAsia="Times New Roman" w:hAnsi="Times New Roman"/>
          <w:sz w:val="18"/>
          <w:szCs w:val="18"/>
          <w:color w:val="auto"/>
        </w:rPr>
        <w:t>”) limited to the issue of the reasonableness of such fees and expenses, and any failure by any such party to file a Fee Objection within such ten-day period shall constitute a waiver of any right of such party to object to the applicable invoice. Notwithstanding any provision herein to the contrary, any objection to, and any hearing on an objection to, payment of any fees, costs, and expenses set forth in a professional fee invoice in respect of Lender Professionals shall be limited to the reasonableness of the particular items or categories of the fees, costs, and expenses that are the subject of such objection. The Debtors shall timely pay in accordance with the terms and conditions of this Final Order (a) the undisputed fees, costs, and expenses reflected on any invoice to which a Fee Objection has been timely filed and (b) all fees, costs and expenses on any invoice to which no Fee Objection has been timely filed. All such unpaid fees, costs, expenses, and charges of the FBG DIP Agent that have not been disallowed by this Court on the basis of an objection filed by the Debtors, the U.S. Trustee, or the Committee (or any subsequent trustee of the Debtors’ estates) in accordance with the terms hereof shall constitute FBG DIP Obligations and shall be secured by the FBG DIP Collateral as specified in this Final Order. All such unpaid fees, costs, expenses, and charges of the Twin DIP Agent that have not been disallowed by this Court on the basis of an objection filed by the Debtors, the U.S. Trustee, or the Committee (or any subsequent trustee of the Debtors’ estates) in accordance with the terms hereof shall constitute Twin DIP Obligations and shall be secured by the Twin DIP Collateral as specified in this Final Order. Any and all fees, commissions, costs, and expenses paid prior to the Petition Date by any Debtor to the DIP Agent or the other DIP Secured Parties in connection with or with respect to the DIP Facility, the DIP Credit Agreement, or the other DIP Documents are hereby approved in full and non-refundable and shall not otherwise be subject to any Challenge. The fees specified in section 2(h) of the DIP Credit Agreement are, upon entry of the Interim Order and irrespective of any subsequent order approving or denying the DIP Facility or any other financing pursuant to section 364 of the Bankruptcy Code, fully entitled to all of the protections of section 364(e) of the Bankruptcy Code and are deemed fully earned, indefeasibly paid, non-refundable, irrevocable and non-avoidable as of the date of the Interim Order.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ind w:firstLine="1304"/>
        <w:spacing w:after="0" w:line="253" w:lineRule="auto"/>
        <w:tabs>
          <w:tab w:leader="none" w:pos="15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Credit Bidding.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relative priorities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Paragraph 7 hereof, (i) the FBG DIP Agent and each FBG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Prepetition Trustees for the applicable FBG Prepetition Secured Parties (together or independently) shall each have, subject to section 363(k) of the Bankruptcy Code, the right to credit bid, either directly or indirectly through an agent and attorney-in-fact, through one or more transactions, (x) up to the full amount of the FBG DIP Obligations and the applicable FBG Prepetition Secured Obligations of the applicable FBG Prepetition Secured Parties, respectively, and (y) the FBG DIP Superpriority Claims and the applicable FBG Adequate Protection Claims, respectively, and (ii) the Twin DIP Agent and Twin Prepetition Trustee for the Twin Prepetition Secured Parties (together or independently) shall each have, subject to section 363(k) of the Bankruptcy Code, the right to credit bid, either directly or indirectly through an agent and attorney-in-fact through one or more transactions, (x) up to the full amount of the Twin DIP Obligations and the applicable Twin Prepetition Secured Obligations of the applicable Twin Prepetition Secured Parties, respectively, and (y) the Twin DIP Superpriority Claims and the Twin Adequate Protection Claims, respectively, if any, in each case without the need for further Court order authorizing the same, in connection with any sale of any of the DIP Collateral or Prepetition Collateral, whether such sale is effectuated through section 363 or section 1129 of the Bankruptcy Code, by a chapter 7 trustee under section 725 of the Bankruptcy Code,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credit bid must include a cash component sufficient to satisfy any applicable senior liens on the purchased assets at the closing of any such sale or provide that all obligations related to such liens shall be assumed as a condition to such sale.</w:t>
      </w:r>
    </w:p>
    <w:p>
      <w:pPr>
        <w:spacing w:after="0" w:line="187"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The provisions of this Final Order shall be binding upon all parties in interest in the Chapter 11 Cases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Cases, including the DIP Secured Parties and the Prepetition Secured Parties, the Committee, the Debtors, and their respective successors and assigns (including any trustee or other fiduciary hereinafter appointed as a legal representative of the Debtors or with respect to the property of the estates of the Debtors) whether in the Chapter 11 Cases, in any Successor Case, or upon dismissal of any such Chapter 11 or Chapter 7 case.</w:t>
      </w:r>
    </w:p>
    <w:p>
      <w:pPr>
        <w:spacing w:after="0" w:line="17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The failure of the DIP Secured Parties or the Prepetition Secured Parties to seek relief or otherwise exercise their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remedies under this Final Order, the other DIP Documents or the Prepetition Documents or otherwise, as applicable, shall not constitute a waiver of any of the DIP Secured Parties’ or Prepetition Secured Parties’ rights hereunder, thereunder or otherwise. Except as provided by this Final Order, the entry of this Final Order is without prejudice to, and does not constitute a waiver of, expressly or implicitly, or otherwise impair any of the rights, claims, privileges, objections, defenses or remedies of the DIP Secured Parties or the Prepetition Secured Parties under the Bankruptcy Code or under non-bankruptcy law against any other person or entity in any court, including without limitation, the rights of the DIP Agent and the Prepetition Trustees to (i) request conversion of any of the Chapter 11 Cases to cases under Chapter 7, dismissal of any of the Chapter 11 Cases, or the appointment of a trustee in any of the Chapter 11 Cases, (ii) propose, subject to the provisions of section 1121 of the Bankruptcy Code, a Plan, or (iii) exercise any of the rights, claims or privileges (whether legal, equitable or otherwise) on behalf of the DIP Secured Parties or the Prepetition Secured Parties, in each case with the rights of the Debtors to contest or object thereto 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ind w:right="20" w:firstLine="1304"/>
        <w:spacing w:after="0" w:line="286"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Third Party Rights</w:t>
      </w:r>
      <w:r>
        <w:rPr>
          <w:rFonts w:ascii="Times New Roman" w:cs="Times New Roman" w:eastAsia="Times New Roman" w:hAnsi="Times New Roman"/>
          <w:sz w:val="18"/>
          <w:szCs w:val="18"/>
          <w:color w:val="auto"/>
        </w:rPr>
        <w:t>. Except as may be explicitly set forth herein, nothing in this Final Order shall confer on any third party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ability to assert the rights or remedies of any of the Debtors hereunder or in any other DIP Document.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Intercreditor Matters</w:t>
      </w:r>
      <w:r>
        <w:rPr>
          <w:rFonts w:ascii="Times New Roman" w:cs="Times New Roman" w:eastAsia="Times New Roman" w:hAnsi="Times New Roman"/>
          <w:sz w:val="18"/>
          <w:szCs w:val="18"/>
          <w:color w:val="auto"/>
        </w:rPr>
        <w:t>. Nothing in this Final Order shall be construed to convey on any individual DIP Secured Party or Prepetition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 any consent, voting or other rights beyond those (if any) set forth in the DIP Documents and Prepetition Documents, as applicable. Nothing in this Final Order shall be construed to impair or otherwise affect any intercreditor, subordination or similar agreement or arrangement in respect of the Prepetition Secured Obligations, which are enforceable to the fullest extent provided by section 510(a) of the Bankruptcy Code and applicable law.</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Marshaling</w:t>
      </w:r>
      <w:r>
        <w:rPr>
          <w:rFonts w:ascii="Times New Roman" w:cs="Times New Roman" w:eastAsia="Times New Roman" w:hAnsi="Times New Roman"/>
          <w:sz w:val="18"/>
          <w:szCs w:val="18"/>
          <w:color w:val="auto"/>
        </w:rPr>
        <w:t>. Neither the DIP Secured Parties nor the Prepetition Secured Parties shall be subject to the equitable doctrine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“marshaling” or any other similar doctrine with respect to any of the DIP Collateral or the Prepetition Collateral,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 enforcement of remedies in accordance with the terms of this Final Order and only after the Parent has repaid in cash all DIP Obligations allocable to the Parent, the DIP Secured Parties shall use commercially reasonable efforts to first satisfy the DIP Obligations from all DIP Collateral other than Manager Advances or the proceeds of Manager Advances before seeking to recover from Manager Advances or the proceeds of Manager Advances.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552(b)</w:t>
      </w:r>
      <w:r>
        <w:rPr>
          <w:rFonts w:ascii="Times New Roman" w:cs="Times New Roman" w:eastAsia="Times New Roman" w:hAnsi="Times New Roman"/>
          <w:sz w:val="18"/>
          <w:szCs w:val="18"/>
          <w:color w:val="auto"/>
        </w:rPr>
        <w:t>. The DIP Secured Parties and the Prepetition Secured Parties shall each be entitled to all of the rights and benefits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552(b) of the Bankruptcy Code and the “equities of the case” exception under section 552(b) of the Bankruptcy Code shall not apply to the DIP Secured Parties or the Prepetition Secured Parties with respect to proceeds, product, offspring or profits of any of the Prepetition Collateral or the DIP Collateral.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ind w:firstLine="1304"/>
        <w:spacing w:after="0" w:line="255" w:lineRule="auto"/>
        <w:tabs>
          <w:tab w:leader="none" w:pos="15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Debtors are authorized and empowered, without further notice and hearing or approval of this Court, to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modify, supplement, or waive any provision of the DIP Documents in accordance with the provisions thereof, in each case unless such amendment, modification, supplement, or waiver is material and adverse to any of the Debtors’ rights or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notice of any such amendment shall be provided by the Debtors to the Committee upon no less than three (3) business days’ (or as soon as reasonably practicable thereafter) notice. No waiver, modification or amendment of any of the provisions hereof shall be effective unless set forth in writing, signed by, or on behalf of, the DIP Borrowers and the DIP Agent (after having obtained the approval of the Required DIP Lenders, as set forth in the DIP Credit Agreement) and, if required, approved by the Court after notice to parties in interest. Notwithstanding the foregoing, no Court approval or notice shall be required for any extensions of any milestones or the Maturity Date under the DIP Credit Agreement (provided that notice shall be provided to the Committee).</w:t>
      </w:r>
    </w:p>
    <w:p>
      <w:pPr>
        <w:spacing w:after="0" w:line="18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1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Twin Roll-Up Reservation</w:t>
      </w:r>
      <w:r>
        <w:rPr>
          <w:rFonts w:ascii="Times New Roman" w:cs="Times New Roman" w:eastAsia="Times New Roman" w:hAnsi="Times New Roman"/>
          <w:sz w:val="18"/>
          <w:szCs w:val="18"/>
          <w:color w:val="auto"/>
        </w:rPr>
        <w:t>. The holders of Twin Prepetition Notes in Class A-2-I (the “</w:t>
      </w:r>
      <w:r>
        <w:rPr>
          <w:rFonts w:ascii="Times New Roman" w:cs="Times New Roman" w:eastAsia="Times New Roman" w:hAnsi="Times New Roman"/>
          <w:sz w:val="18"/>
          <w:szCs w:val="18"/>
          <w:b w:val="1"/>
          <w:bCs w:val="1"/>
          <w:i w:val="1"/>
          <w:iCs w:val="1"/>
          <w:color w:val="auto"/>
        </w:rPr>
        <w:t>Twin Class A-2-I Notes</w:t>
      </w:r>
      <w:r>
        <w:rPr>
          <w:rFonts w:ascii="Times New Roman" w:cs="Times New Roman" w:eastAsia="Times New Roman" w:hAnsi="Times New Roman"/>
          <w:sz w:val="18"/>
          <w:szCs w:val="18"/>
          <w:color w:val="auto"/>
        </w:rPr>
        <w:t>”) and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Twin Prepetition Notes in Class A-2-II (the “</w:t>
      </w:r>
      <w:r>
        <w:rPr>
          <w:rFonts w:ascii="Times New Roman" w:cs="Times New Roman" w:eastAsia="Times New Roman" w:hAnsi="Times New Roman"/>
          <w:sz w:val="18"/>
          <w:szCs w:val="18"/>
          <w:b w:val="1"/>
          <w:bCs w:val="1"/>
          <w:i w:val="1"/>
          <w:iCs w:val="1"/>
          <w:color w:val="auto"/>
        </w:rPr>
        <w:t>Twin Class A-2-II Notes</w:t>
      </w:r>
      <w:r>
        <w:rPr>
          <w:rFonts w:ascii="Times New Roman" w:cs="Times New Roman" w:eastAsia="Times New Roman" w:hAnsi="Times New Roman"/>
          <w:sz w:val="18"/>
          <w:szCs w:val="18"/>
          <w:color w:val="auto"/>
        </w:rPr>
        <w:t>”) acknowledge and agree that there may exist differing interpretations regarding the relative priority of payment between the Twin Class A-2-I Notes and the Twin Class A-2-II Notes under the terms of the Twin Prepetition Indenture in the event that the Twin DIP Loans are not repaid in full in cash and shall be subject to following reservation of rights (the “</w:t>
      </w:r>
      <w:r>
        <w:rPr>
          <w:rFonts w:ascii="Times New Roman" w:cs="Times New Roman" w:eastAsia="Times New Roman" w:hAnsi="Times New Roman"/>
          <w:sz w:val="18"/>
          <w:szCs w:val="18"/>
          <w:b w:val="1"/>
          <w:bCs w:val="1"/>
          <w:i w:val="1"/>
          <w:iCs w:val="1"/>
          <w:color w:val="auto"/>
        </w:rPr>
        <w:t>Twin Roll-Up Reservation</w:t>
      </w:r>
      <w:r>
        <w:rPr>
          <w:rFonts w:ascii="Times New Roman" w:cs="Times New Roman" w:eastAsia="Times New Roman" w:hAnsi="Times New Roman"/>
          <w:sz w:val="18"/>
          <w:szCs w:val="18"/>
          <w:color w:val="auto"/>
        </w:rPr>
        <w:t xml:space="preserve">”). Nothing in this Final Order, any other DIP Document, or any agreement, arrangement, instrument, order, or other document entered into, executed, or consented to by the holders of Twin Prepetition Notes shall be construed or deemed to constitute a waiver, release, admission, concession, or prejudice of any kind with respect to the rights, claims, positions, or arguments of any holder of Twin Prepetition Notes relating to the relative priority of payment between the Twin Class A-2-I Notes and the Twin Class A-2-II Notes in the event that the Twin DIP Loans are not repaid in full in cash. If it is determined, either by final order of the Court or by a written agreement between a majority of the holders of Twin Class A-2-I Notes and a majority of the holders of Twin Class A-2-II Notes, that the Twin Class A-2-I Notes and the Twin Class A-2-II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the event that the Twin DIP Loans are not repaid in full in cash, there shall be no distinction between Twin Class A-2-I Notes and the Twin Class A-2-II with respect to the Twin Prepetition Secured Obligations, the Twin New Money DIP Loans, the Twin Senior Rolled-Up DIP Loans, the Twin Adequate Protection Liens and the Twin Adequate Protection Claims. If it is determined, either by final order of the Court or by a written agreement between a majority of the holders of Twin Class A-2-I Notes and a majority of the holders of Twin Class A-2-II Notes, that the Twin Class A-2-I Notes are senior to the Twin Class A-2-II notes in the event that the Twin DIP Loans are not repaid in full in cash, the Twin Prepetition Secured Obligations, Twin Senior Roll-Up DIP Loans, Twin Adequate Protection Liens and Twin Adequate Protection Claims on account of the Twin Class A-2-I Notes shall be senior to the Twin Prepetition Secured Obligations, Twin Senior Roll-Up DIP Loans, Twin Adequate Protection Liens and Twin Adequate Protection Claims on account of the Twin Class A-2-II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Twin New Money DIP Loans provided by the holders of Twin Class A-2-I Notes and the Twin New Money DIP Loans provided by the holders of Twin Class A-2-II Notes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regardless of such determination.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ind w:firstLine="1304"/>
        <w:spacing w:after="0" w:line="262" w:lineRule="auto"/>
        <w:tabs>
          <w:tab w:leader="none" w:pos="160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Priority of Terms</w:t>
      </w:r>
      <w:r>
        <w:rPr>
          <w:rFonts w:ascii="Times New Roman" w:cs="Times New Roman" w:eastAsia="Times New Roman" w:hAnsi="Times New Roman"/>
          <w:sz w:val="18"/>
          <w:szCs w:val="18"/>
          <w:color w:val="auto"/>
        </w:rPr>
        <w:t>. To the extent of any conflict between or among (a) the express terms or provisions of any of the DIP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Motion, any other order of this Court (including any Interim Cash Collateral Orders), or any other agreements, on the one hand, and (b) the terms and provisions of this Final Order, on the other hand, unless such term or provision herein is phrased in terms of “defined in” or “as set forth in” the DIP Documents or the Motion, the terms and provisions of this Final Order shall govern.</w:t>
      </w:r>
    </w:p>
    <w:p>
      <w:pPr>
        <w:spacing w:after="0" w:line="17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Survival of Final Order</w:t>
      </w:r>
      <w:r>
        <w:rPr>
          <w:rFonts w:ascii="Times New Roman" w:cs="Times New Roman" w:eastAsia="Times New Roman" w:hAnsi="Times New Roman"/>
          <w:sz w:val="18"/>
          <w:szCs w:val="18"/>
          <w:color w:val="auto"/>
        </w:rPr>
        <w:t>. The provisions of this Final Order and any actions taken pursuant hereto shall survive entry of any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be entered (i) confirming any Plan in any of the Chapter 11 Cases, (ii) converting any of the Chapter 11 Cases to a case under Chapter 7 of the Bankruptcy Code, (iii) to the extent authorized by applicable law, dismissing any of the Chapter 11 Cases, (iv) withdrawing of the reference of any of the Chapter 11 Cases from this Court, or (v) providing for abstention from handling or retaining of jurisdiction of any of the Chapter 11 Cases in this Court. The terms and provisions of this Final Order, the DIP Documents and the Prepetition Documents, including the DIP Liens and DIP Superpriority Claims granted pursuant to this Final Order, the DIP Documents and the Prepetition Documents and any priorities and protections granted to or for the benefit of the DIP Secured Parties and Prepetition Secured Parties (including the Adequate Protection Liens and the Adequate Protection Claims) hereunder and thereunder, shall continue in full force and effect to the fullest extent provided by section 364(e) of the Bankruptcy Code.</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Enforceability</w:t>
      </w:r>
      <w:r>
        <w:rPr>
          <w:rFonts w:ascii="Times New Roman" w:cs="Times New Roman" w:eastAsia="Times New Roman" w:hAnsi="Times New Roman"/>
          <w:sz w:val="18"/>
          <w:szCs w:val="18"/>
          <w:color w:val="auto"/>
        </w:rPr>
        <w:t>. This Final Order shall constitute findings of fact and conclusions of law pursuant to Bankruptcy Rule 7052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 effect and be fully enforceable </w:t>
      </w:r>
      <w:r>
        <w:rPr>
          <w:rFonts w:ascii="Times New Roman" w:cs="Times New Roman" w:eastAsia="Times New Roman" w:hAnsi="Times New Roman"/>
          <w:sz w:val="18"/>
          <w:szCs w:val="18"/>
          <w:i w:val="1"/>
          <w:iCs w:val="1"/>
          <w:color w:val="auto"/>
        </w:rPr>
        <w:t>nunc pro tunc</w:t>
      </w:r>
      <w:r>
        <w:rPr>
          <w:rFonts w:ascii="Times New Roman" w:cs="Times New Roman" w:eastAsia="Times New Roman" w:hAnsi="Times New Roman"/>
          <w:sz w:val="18"/>
          <w:szCs w:val="18"/>
          <w:color w:val="auto"/>
        </w:rPr>
        <w:t xml:space="preserve"> to the Petition Date immediately upon execution hereof.</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any Applicable Stay of Execution or Effectiveness</w:t>
      </w:r>
      <w:r>
        <w:rPr>
          <w:rFonts w:ascii="Times New Roman" w:cs="Times New Roman" w:eastAsia="Times New Roman" w:hAnsi="Times New Roman"/>
          <w:sz w:val="18"/>
          <w:szCs w:val="18"/>
          <w:color w:val="auto"/>
        </w:rPr>
        <w:t>. Any applicable stay (including, without limitation, under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6004(h)) is hereby waived and shall not apply to this Final Order.</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Necessary Action</w:t>
      </w:r>
      <w:r>
        <w:rPr>
          <w:rFonts w:ascii="Times New Roman" w:cs="Times New Roman" w:eastAsia="Times New Roman" w:hAnsi="Times New Roman"/>
          <w:sz w:val="18"/>
          <w:szCs w:val="18"/>
          <w:color w:val="auto"/>
        </w:rPr>
        <w:t>. The Debtors are authorized to take any and all such actions as are necessary, required or appropriate to implement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effectuate the terms of this Final Order, the DIP Documents and the transactions contemplated hereunder and thereunder.</w:t>
      </w:r>
    </w:p>
    <w:p>
      <w:pPr>
        <w:spacing w:after="0" w:line="15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Relative Priority of Liens</w:t>
      </w:r>
      <w:r>
        <w:rPr>
          <w:rFonts w:ascii="Times New Roman" w:cs="Times New Roman" w:eastAsia="Times New Roman" w:hAnsi="Times New Roman"/>
          <w:sz w:val="18"/>
          <w:szCs w:val="18"/>
          <w:color w:val="auto"/>
        </w:rPr>
        <w:t>. The relative priority of each of the Carve-Out, Permitted Prior Liens, DIP Liens, Intercompany Liens,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Protection Liens, and Prepetition Liens are set forth in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each such Lien shall be subject and subordinate to the Carve-Out in all respects.</w:t>
      </w:r>
    </w:p>
    <w:p>
      <w:pPr>
        <w:spacing w:after="0" w:line="17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Retention of Jurisdiction</w:t>
      </w:r>
      <w:r>
        <w:rPr>
          <w:rFonts w:ascii="Times New Roman" w:cs="Times New Roman" w:eastAsia="Times New Roman" w:hAnsi="Times New Roman"/>
          <w:sz w:val="18"/>
          <w:szCs w:val="18"/>
          <w:color w:val="auto"/>
        </w:rPr>
        <w:t>. The Court has and will retain jurisdiction to enforce this Final Order according to its terms.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Reservation of Rights for Resid Secured Parties</w:t>
      </w:r>
      <w:r>
        <w:rPr>
          <w:rFonts w:ascii="Times New Roman" w:cs="Times New Roman" w:eastAsia="Times New Roman" w:hAnsi="Times New Roman"/>
          <w:sz w:val="18"/>
          <w:szCs w:val="18"/>
          <w:color w:val="auto"/>
        </w:rPr>
        <w:t xml:space="preserve">. Notwithstanding anything to the contrary in this Final Order,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or the DIP Documents, if the Court determines in a final non-appealable order in connection with the Adversary Proceeding</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or otherwise that (a) the Management Fees are the property of the Resid Issuer, then the Resid Issuer shall have Intercompany Claims (the “</w:t>
      </w:r>
      <w:r>
        <w:rPr>
          <w:rFonts w:ascii="Times New Roman" w:cs="Times New Roman" w:eastAsia="Times New Roman" w:hAnsi="Times New Roman"/>
          <w:sz w:val="18"/>
          <w:szCs w:val="18"/>
          <w:b w:val="1"/>
          <w:bCs w:val="1"/>
          <w:i w:val="1"/>
          <w:iCs w:val="1"/>
          <w:color w:val="auto"/>
        </w:rPr>
        <w:t>Resid Issuer Intercompany Claims</w:t>
      </w:r>
      <w:r>
        <w:rPr>
          <w:rFonts w:ascii="Times New Roman" w:cs="Times New Roman" w:eastAsia="Times New Roman" w:hAnsi="Times New Roman"/>
          <w:sz w:val="18"/>
          <w:szCs w:val="18"/>
          <w:color w:val="auto"/>
        </w:rPr>
        <w:t>”) and Intercompany Liens (the “</w:t>
      </w:r>
      <w:r>
        <w:rPr>
          <w:rFonts w:ascii="Times New Roman" w:cs="Times New Roman" w:eastAsia="Times New Roman" w:hAnsi="Times New Roman"/>
          <w:sz w:val="18"/>
          <w:szCs w:val="18"/>
          <w:b w:val="1"/>
          <w:bCs w:val="1"/>
          <w:i w:val="1"/>
          <w:iCs w:val="1"/>
          <w:color w:val="auto"/>
        </w:rPr>
        <w:t>Resid Issuer Intercompany Liens</w:t>
      </w:r>
      <w:r>
        <w:rPr>
          <w:rFonts w:ascii="Times New Roman" w:cs="Times New Roman" w:eastAsia="Times New Roman" w:hAnsi="Times New Roman"/>
          <w:sz w:val="18"/>
          <w:szCs w:val="18"/>
          <w:color w:val="auto"/>
        </w:rPr>
        <w:t xml:space="preserve">”) against all assets of the FBG Manager to the extent of any Management Fees paid to the FBG Manager instead of the Resid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notwithstanding anything to the contrary herein, the Resid Issuer Intercompany Claims and the Resid Issuer Intercompany Liens granted to the Resid Issuer hereunder shall be junior to the Carve-Out, Permitted Prior Liens, DIP Superpriority Claims, and DIP Liens, (b) the Management Fees are the property of FBG Manager and also the Cash Collateral of the Resid Issuer, then the Resid Issuer shall have adequate protection liens against all assets of the FBG Manager (the </w:t>
      </w:r>
      <w:r>
        <w:rPr>
          <w:rFonts w:ascii="Times New Roman" w:cs="Times New Roman" w:eastAsia="Times New Roman" w:hAnsi="Times New Roman"/>
          <w:sz w:val="18"/>
          <w:szCs w:val="18"/>
          <w:b w:val="1"/>
          <w:bCs w:val="1"/>
          <w:i w:val="1"/>
          <w:iCs w:val="1"/>
          <w:color w:val="auto"/>
        </w:rPr>
        <w:t>“Resid Issuer Adequate Protection Lien</w:t>
      </w:r>
      <w:r>
        <w:rPr>
          <w:rFonts w:ascii="Times New Roman" w:cs="Times New Roman" w:eastAsia="Times New Roman" w:hAnsi="Times New Roman"/>
          <w:sz w:val="18"/>
          <w:szCs w:val="18"/>
          <w:color w:val="auto"/>
        </w:rPr>
        <w:t xml:space="preserve">”) and an adequate protection claim payable by the FBG Manager (the </w:t>
      </w:r>
      <w:r>
        <w:rPr>
          <w:rFonts w:ascii="Times New Roman" w:cs="Times New Roman" w:eastAsia="Times New Roman" w:hAnsi="Times New Roman"/>
          <w:sz w:val="18"/>
          <w:szCs w:val="18"/>
          <w:b w:val="1"/>
          <w:bCs w:val="1"/>
          <w:i w:val="1"/>
          <w:iCs w:val="1"/>
          <w:color w:val="auto"/>
        </w:rPr>
        <w:t>“Resid Issuer Adequate Protection Claim</w:t>
      </w:r>
      <w:r>
        <w:rPr>
          <w:rFonts w:ascii="Times New Roman" w:cs="Times New Roman" w:eastAsia="Times New Roman" w:hAnsi="Times New Roman"/>
          <w:sz w:val="18"/>
          <w:szCs w:val="18"/>
          <w:color w:val="auto"/>
        </w:rPr>
        <w:t xml:space="preserve">”) solely to the extent of any Diminution in Value, which shall be junior to (i) the Carve-Out, (ii) any liens or security interests solely to the extent any such liens and security interests were valid, non-avoidable, and properly perfected as of the Petition Date (or were in existence immediately prior to the Petition Date and are properly perfected subsequent to the Petition Date as permitted by section 546(b) of the Bankruptcy Code) and were senior to the prepetition liens of the Resid Issuer, (iii) the Intercompany Liens; and (iv) the DIP Liens and DIP Superpriority Claims, and/or (c) the Management Fees are the Cash Collateral of the Resid Secured Parties, then the Resid Secured Parties shall have an adequate protection lien on all assets of the Resid Issuer (the </w:t>
      </w:r>
      <w:r>
        <w:rPr>
          <w:rFonts w:ascii="Times New Roman" w:cs="Times New Roman" w:eastAsia="Times New Roman" w:hAnsi="Times New Roman"/>
          <w:sz w:val="18"/>
          <w:szCs w:val="18"/>
          <w:b w:val="1"/>
          <w:bCs w:val="1"/>
          <w:i w:val="1"/>
          <w:iCs w:val="1"/>
          <w:color w:val="auto"/>
        </w:rPr>
        <w:t>“Resid Secured Parties Adequate Protection Lien</w:t>
      </w:r>
      <w:r>
        <w:rPr>
          <w:rFonts w:ascii="Times New Roman" w:cs="Times New Roman" w:eastAsia="Times New Roman" w:hAnsi="Times New Roman"/>
          <w:sz w:val="18"/>
          <w:szCs w:val="18"/>
          <w:color w:val="auto"/>
        </w:rPr>
        <w:t>” and, together with the Resid Issuer Adequate Protection Liens, the “</w:t>
      </w:r>
      <w:r>
        <w:rPr>
          <w:rFonts w:ascii="Times New Roman" w:cs="Times New Roman" w:eastAsia="Times New Roman" w:hAnsi="Times New Roman"/>
          <w:sz w:val="18"/>
          <w:szCs w:val="18"/>
          <w:b w:val="1"/>
          <w:bCs w:val="1"/>
          <w:i w:val="1"/>
          <w:iCs w:val="1"/>
          <w:color w:val="auto"/>
        </w:rPr>
        <w:t>Resid Adequate Protection Liens</w:t>
      </w:r>
      <w:r>
        <w:rPr>
          <w:rFonts w:ascii="Times New Roman" w:cs="Times New Roman" w:eastAsia="Times New Roman" w:hAnsi="Times New Roman"/>
          <w:sz w:val="18"/>
          <w:szCs w:val="18"/>
          <w:color w:val="auto"/>
        </w:rPr>
        <w:t xml:space="preserve">”) and an adequate protection claim payable by the Resid Issuer (the </w:t>
      </w:r>
      <w:r>
        <w:rPr>
          <w:rFonts w:ascii="Times New Roman" w:cs="Times New Roman" w:eastAsia="Times New Roman" w:hAnsi="Times New Roman"/>
          <w:sz w:val="18"/>
          <w:szCs w:val="18"/>
          <w:b w:val="1"/>
          <w:bCs w:val="1"/>
          <w:i w:val="1"/>
          <w:iCs w:val="1"/>
          <w:color w:val="auto"/>
        </w:rPr>
        <w:t>“Resid 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Parties Adequate Protection Claim</w:t>
      </w:r>
      <w:r>
        <w:rPr>
          <w:rFonts w:ascii="Times New Roman" w:cs="Times New Roman" w:eastAsia="Times New Roman" w:hAnsi="Times New Roman"/>
          <w:sz w:val="18"/>
          <w:szCs w:val="18"/>
          <w:color w:val="auto"/>
        </w:rPr>
        <w:t>” and, together with the Resid Issuer Adequate Protection Claims, the “</w:t>
      </w:r>
      <w:r>
        <w:rPr>
          <w:rFonts w:ascii="Times New Roman" w:cs="Times New Roman" w:eastAsia="Times New Roman" w:hAnsi="Times New Roman"/>
          <w:sz w:val="18"/>
          <w:szCs w:val="18"/>
          <w:b w:val="1"/>
          <w:bCs w:val="1"/>
          <w:i w:val="1"/>
          <w:iCs w:val="1"/>
          <w:color w:val="auto"/>
        </w:rPr>
        <w:t>Resid Adequate Protection Claims</w:t>
      </w:r>
      <w:r>
        <w:rPr>
          <w:rFonts w:ascii="Times New Roman" w:cs="Times New Roman" w:eastAsia="Times New Roman" w:hAnsi="Times New Roman"/>
          <w:sz w:val="18"/>
          <w:szCs w:val="18"/>
          <w:color w:val="auto"/>
        </w:rPr>
        <w:t>”) solely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extent of any Diminution in Value, which shall be junior to (i) the Carve-Out, (ii) any liens or security interests solely to the extent any such liens and security interests were valid, non-avoidable, and properly perfected as of the Petition Date (or were in existence immediately prior to the Petition Date and are properly perfected subsequent to the Petition Date as permitted by section 546(b) of the Bankruptcy Code) and were senior to the prepetition liens of the Resid Secured Parties, and (iii) Intercompany Liens. To the extent that the Court determines that the Resid Issuer’s property was used to fund the Escrow Account, the Resid Issuer shall have a ratable entitlement to any Escrow Account Residual Balance. The rights of all parties in interest with respect to whether postpetition receipts constitute Cash Collateral and/or property of the Resid Secured Parties and/or the Resid Issuer are fully reserved. Nothing in this Final Order,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or the DIP Documents is intended to, or shall, prejudice, limit, or determine the Adversary Proceeding. The Resid Secured Parties shall also be entitled to the same budget and variance reporting rights as the Prepetition Secured Parties set forth in Paragraph 2(n) and (o) hereto (subject to appropriate and comparable confidentiality requirements). For the avoidance of doubt, the Resid Issuer is not a DIP Loan Party. Upon the occurrence and during the continuation of a Termination Event, the automatic stay is hereby modified, without further notice, hearing, motion, order or action of any other kind, to permit the Resid Trustee to declare that the Resid Issuer shall have no right to use Cash Collateral of the Resid Noteholders (to the extent there is any), without the written consent of the Resid Noteholders. The reservation of rights set forth in Paragraph 5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the Resid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1" w:lineRule="exact"/>
        <w:rPr>
          <w:sz w:val="20"/>
          <w:szCs w:val="20"/>
          <w:color w:val="auto"/>
        </w:rPr>
      </w:pPr>
    </w:p>
    <w:p>
      <w:pPr>
        <w:ind w:left="340" w:hanging="332"/>
        <w:spacing w:after="0" w:line="197" w:lineRule="auto"/>
        <w:tabs>
          <w:tab w:leader="none" w:pos="34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Adversary Proceeding</w:t>
      </w:r>
      <w:r>
        <w:rPr>
          <w:rFonts w:ascii="Times New Roman" w:cs="Times New Roman" w:eastAsia="Times New Roman" w:hAnsi="Times New Roman"/>
          <w:sz w:val="18"/>
          <w:szCs w:val="18"/>
          <w:color w:val="auto"/>
        </w:rPr>
        <w:t xml:space="preserve">” refers to </w:t>
      </w:r>
      <w:r>
        <w:rPr>
          <w:rFonts w:ascii="Times New Roman" w:cs="Times New Roman" w:eastAsia="Times New Roman" w:hAnsi="Times New Roman"/>
          <w:sz w:val="18"/>
          <w:szCs w:val="18"/>
          <w:i w:val="1"/>
          <w:iCs w:val="1"/>
          <w:color w:val="auto"/>
        </w:rPr>
        <w:t>3|5|2 Capital GP LLC, on behalf of 3|5|2 Capital ABS Master Fund LP v. FAT Brands Inc. and FB Resid Holdings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LLC</w:t>
      </w:r>
      <w:r>
        <w:rPr>
          <w:rFonts w:ascii="Times New Roman" w:cs="Times New Roman" w:eastAsia="Times New Roman" w:hAnsi="Times New Roman"/>
          <w:sz w:val="18"/>
          <w:szCs w:val="18"/>
          <w:color w:val="auto"/>
        </w:rPr>
        <w:t>, Adv. Proc. No. 26-03053 (ARP).</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both"/>
        <w:ind w:firstLine="656"/>
        <w:spacing w:after="0" w:line="254" w:lineRule="auto"/>
        <w:tabs>
          <w:tab w:leader="none" w:pos="9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Rights for Percent Lender</w:t>
      </w:r>
      <w:r>
        <w:rPr>
          <w:rFonts w:ascii="Times New Roman" w:cs="Times New Roman" w:eastAsia="Times New Roman" w:hAnsi="Times New Roman"/>
          <w:sz w:val="18"/>
          <w:szCs w:val="18"/>
          <w:color w:val="auto"/>
        </w:rPr>
        <w:t>. To the extent this Court finds, in a final non-appealable order, that there are any postpetition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receipts received by or that should have been paid to the Percent Obligor or the Royalty Percent Borrower that constitute Cash Collateral of the Percent Lender, then the Percent Lender will be entitled to the following adequate protection: (i) adequate protection liens (the “</w:t>
      </w:r>
      <w:r>
        <w:rPr>
          <w:rFonts w:ascii="Times New Roman" w:cs="Times New Roman" w:eastAsia="Times New Roman" w:hAnsi="Times New Roman"/>
          <w:sz w:val="18"/>
          <w:szCs w:val="18"/>
          <w:b w:val="1"/>
          <w:bCs w:val="1"/>
          <w:i w:val="1"/>
          <w:iCs w:val="1"/>
          <w:color w:val="auto"/>
        </w:rPr>
        <w:t>Percent Adequate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on the Percent Lender’s prepetition collateral, and postpetition proceeds, products, offspring, or profits thereof to the extent provided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prepetition documents governing the Percent Promissory Notes, including postpetition Intercompany Claims solely to the extent that such postpetition Intercompany Claims are funded using the Percent Lender’s Cash Collateral (collectively, the “</w:t>
      </w:r>
      <w:r>
        <w:rPr>
          <w:rFonts w:ascii="Times New Roman" w:cs="Times New Roman" w:eastAsia="Times New Roman" w:hAnsi="Times New Roman"/>
          <w:sz w:val="18"/>
          <w:szCs w:val="18"/>
          <w:b w:val="1"/>
          <w:bCs w:val="1"/>
          <w:i w:val="1"/>
          <w:iCs w:val="1"/>
          <w:color w:val="auto"/>
        </w:rPr>
        <w:t>Percent Adequate Protection Collateral</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protection superpriority claims payable by the Percent Obligor and the Royalty Percent Borrower with recourse to the Percent Adequate Protection Collateral, each of which shall be subject to (i) the Carve-Out, (ii) any liens or security interests solely to the extent any such liens and security interests were valid, non-avoidable, and properly perfected as of the Petition Date (or were in existence immediately prior to the Petition Date and are properly perfected subsequent to the Petition Date as permitted by section 546(b) of the Bankruptcy Code) and were senior to the prepetition liens of the Percent Lender and (iii) Intercompany Liens. The Percent Lender shall also be entitled to the same budget and variance reporting rights as the Prepetition Secured Parties set forth in Paragraph 2(n) and (o) hereto (subject to appropriate and comparable confidentiality requirements) with respect to FAT GFG Notes I, LLC and FAT Royalty Notes I, LLC (subject to appropriate and comparable confidentiality requirements). The rights of all parties in interest with respect to whether postpetition receipts constitute Cash Collateral of the Percent Lender are fully reserved, subject to Paragraph 2(p).</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4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Rights for Riverside Refi Lender</w:t>
      </w:r>
      <w:r>
        <w:rPr>
          <w:rFonts w:ascii="Times New Roman" w:cs="Times New Roman" w:eastAsia="Times New Roman" w:hAnsi="Times New Roman"/>
          <w:sz w:val="18"/>
          <w:szCs w:val="18"/>
          <w:color w:val="auto"/>
        </w:rPr>
        <w:t>. To the extent this Court finds, in a final non-appealable order, that there are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postpetition cash receipts received by the Riverside Refi Obligor that constitute Cash Collateral of the Riverside Refi Lender, then the Riverside Refi Lender will be entitled to the following adequate protection: (i) adequate protection liens (the “</w:t>
      </w:r>
      <w:r>
        <w:rPr>
          <w:rFonts w:ascii="Times New Roman" w:cs="Times New Roman" w:eastAsia="Times New Roman" w:hAnsi="Times New Roman"/>
          <w:sz w:val="18"/>
          <w:szCs w:val="18"/>
          <w:b w:val="1"/>
          <w:bCs w:val="1"/>
          <w:i w:val="1"/>
          <w:iCs w:val="1"/>
          <w:color w:val="auto"/>
        </w:rPr>
        <w:t>Riverside Refi Lender Adequate Protection Liens</w:t>
      </w:r>
      <w:r>
        <w:rPr>
          <w:rFonts w:ascii="Times New Roman" w:cs="Times New Roman" w:eastAsia="Times New Roman" w:hAnsi="Times New Roman"/>
          <w:sz w:val="18"/>
          <w:szCs w:val="18"/>
          <w:color w:val="auto"/>
        </w:rPr>
        <w:t>”) on the Riverside Refi Lender’s prepetition collateral, and postpetition proceeds, products, offspring, or profits thereof to the extent provided in the applicable prepetition documents governing the Riverside Refi Loan, including postpetition Intercompany Claims solely to the extent that such postpetition Intercompany Claims are funded using the Riverside Refi Lender’s Cash Collateral (collectively, the “</w:t>
      </w:r>
      <w:r>
        <w:rPr>
          <w:rFonts w:ascii="Times New Roman" w:cs="Times New Roman" w:eastAsia="Times New Roman" w:hAnsi="Times New Roman"/>
          <w:sz w:val="18"/>
          <w:szCs w:val="18"/>
          <w:b w:val="1"/>
          <w:bCs w:val="1"/>
          <w:i w:val="1"/>
          <w:iCs w:val="1"/>
          <w:color w:val="auto"/>
        </w:rPr>
        <w:t>Riverside Refi Adequate Protection Collateral</w:t>
      </w:r>
      <w:r>
        <w:rPr>
          <w:rFonts w:ascii="Times New Roman" w:cs="Times New Roman" w:eastAsia="Times New Roman" w:hAnsi="Times New Roman"/>
          <w:sz w:val="18"/>
          <w:szCs w:val="18"/>
          <w:color w:val="auto"/>
        </w:rPr>
        <w:t>”), and (ii) an adequate protection superpriority claim payable by the Riverside Refi Obligor with recourse to the Riverside Refi Adequate Protection Collateral, each of which shall be subject to (i) the Carve-Out, (ii) any liens or security interests solely to the extent any such liens and security interests were valid, non-avoidable, and properly perfected as of the Petition Date (or were in existence immediately prior to the Petition Date and are properly perfected subsequent to the Petition Date as permitted by section 546(b) of the Bankruptcy Code) and were senior to the prepetition liens of the Riverside Refi Lender and (iii) Intercompany Liens. The Riverside Refi Lender shall also be entitled to the same budget and variance reporting rights as the Prepetition Secured Parties set forth in Paragraph 2(n) and (o) hereto with respect HDOS Acquisition, LLC (subject to appropriate and comparable confidentiality requirements). The rights of all parties in interest with respect to whether postpetition receipts constitute Cash Collateral of the Riverside Refi Lender are fully reserved, subject to Paragraph 2(p).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jc w:val="both"/>
        <w:ind w:firstLine="656"/>
        <w:spacing w:after="0" w:line="254" w:lineRule="auto"/>
        <w:tabs>
          <w:tab w:leader="none" w:pos="9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of Round Table Owners Association and Ad Hoc Group of Franchisees</w:t>
      </w:r>
      <w:r>
        <w:rPr>
          <w:rFonts w:ascii="Times New Roman" w:cs="Times New Roman" w:eastAsia="Times New Roman" w:hAnsi="Times New Roman"/>
          <w:sz w:val="18"/>
          <w:szCs w:val="18"/>
          <w:color w:val="auto"/>
        </w:rPr>
        <w:t>. In resolution of the informal limited objections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Round Table Owners Association (“</w:t>
      </w:r>
      <w:r>
        <w:rPr>
          <w:rFonts w:ascii="Times New Roman" w:cs="Times New Roman" w:eastAsia="Times New Roman" w:hAnsi="Times New Roman"/>
          <w:sz w:val="18"/>
          <w:szCs w:val="18"/>
          <w:b w:val="1"/>
          <w:bCs w:val="1"/>
          <w:i w:val="1"/>
          <w:iCs w:val="1"/>
          <w:color w:val="auto"/>
        </w:rPr>
        <w:t>RTOA</w:t>
      </w:r>
      <w:r>
        <w:rPr>
          <w:rFonts w:ascii="Times New Roman" w:cs="Times New Roman" w:eastAsia="Times New Roman" w:hAnsi="Times New Roman"/>
          <w:sz w:val="18"/>
          <w:szCs w:val="18"/>
          <w:color w:val="auto"/>
        </w:rPr>
        <w:t>”) and the ad hoc group of franchisees represented by Orrick, Herrington &amp; Sutcliffe LLP and Bradley Arant Boult Cummings LLP (the “</w:t>
      </w:r>
      <w:r>
        <w:rPr>
          <w:rFonts w:ascii="Times New Roman" w:cs="Times New Roman" w:eastAsia="Times New Roman" w:hAnsi="Times New Roman"/>
          <w:sz w:val="18"/>
          <w:szCs w:val="18"/>
          <w:b w:val="1"/>
          <w:bCs w:val="1"/>
          <w:i w:val="1"/>
          <w:iCs w:val="1"/>
          <w:color w:val="auto"/>
        </w:rPr>
        <w:t>Ad Hoc Group of Franchisees</w:t>
      </w:r>
      <w:r>
        <w:rPr>
          <w:rFonts w:ascii="Times New Roman" w:cs="Times New Roman" w:eastAsia="Times New Roman" w:hAnsi="Times New Roman"/>
          <w:sz w:val="18"/>
          <w:szCs w:val="18"/>
          <w:color w:val="auto"/>
        </w:rPr>
        <w:t>”), the accounts at Axos Bank (accounts ending in x5525 and x5533) and all post-petition marketing fee contributions (the “</w:t>
      </w:r>
      <w:r>
        <w:rPr>
          <w:rFonts w:ascii="Times New Roman" w:cs="Times New Roman" w:eastAsia="Times New Roman" w:hAnsi="Times New Roman"/>
          <w:sz w:val="18"/>
          <w:szCs w:val="18"/>
          <w:b w:val="1"/>
          <w:bCs w:val="1"/>
          <w:i w:val="1"/>
          <w:iCs w:val="1"/>
          <w:color w:val="auto"/>
        </w:rPr>
        <w:t>Specified Marketing Funds</w:t>
      </w:r>
      <w:r>
        <w:rPr>
          <w:rFonts w:ascii="Times New Roman" w:cs="Times New Roman" w:eastAsia="Times New Roman" w:hAnsi="Times New Roman"/>
          <w:sz w:val="18"/>
          <w:szCs w:val="18"/>
          <w:color w:val="auto"/>
        </w:rPr>
        <w:t>”) received from RTOA franchisees and the members of the Ad Hoc Group of Franchisees are excluded from the definition of “Cash Collateral,” “Adequate Protection Collateral,” “Intercompany Liens,” “FBG DIP Collateral,” “Twin DIP Collateral,” and “DIP Collateral” as those terms are used in this Final Order, and no Adequate Protection Lien, Intercompany Lien, or other post-petition encumbrance shall attach to the Specified Marketing Funds, as required by the franchise agreements. Subject to further order of the Court, the Debtors agree that all post-petition Specified Marketing Funds that are contributed pursuant to Section 5(c) or otherwise of the respective franchise agreements shall be used strictly as permitted under such agreements. All rights are reserved with respect to the prepetition treatment of the Specified Marketing Funds.</w:t>
      </w:r>
    </w:p>
    <w:p>
      <w:pPr>
        <w:spacing w:after="0" w:line="196" w:lineRule="exact"/>
        <w:rPr>
          <w:rFonts w:ascii="Times New Roman" w:cs="Times New Roman" w:eastAsia="Times New Roman" w:hAnsi="Times New Roman"/>
          <w:sz w:val="18"/>
          <w:szCs w:val="18"/>
          <w:color w:val="auto"/>
        </w:rPr>
      </w:pPr>
    </w:p>
    <w:p>
      <w:pPr>
        <w:jc w:val="both"/>
        <w:ind w:firstLine="656"/>
        <w:spacing w:after="0" w:line="234" w:lineRule="auto"/>
        <w:tabs>
          <w:tab w:leader="none" w:pos="9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Cash</w:t>
      </w:r>
      <w:r>
        <w:rPr>
          <w:rFonts w:ascii="Times New Roman" w:cs="Times New Roman" w:eastAsia="Times New Roman" w:hAnsi="Times New Roman"/>
          <w:sz w:val="18"/>
          <w:szCs w:val="18"/>
          <w:color w:val="auto"/>
        </w:rPr>
        <w:t>. Pursuant to the Sale Orders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Purchase Agreements (as defined in the applicable Sale Order), all funds held in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applicable Prepetition Trustee from the WBS Collection Accounts, WBS Reserve Accounts, or WBS Collection Account Administrative Accounts (as defined in the Cash Management Motion) (such funds, the “</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are Acquired Assets (as defined in the applicable Purchase Agreements). Upon Closing (as defined in the applicable Purchase Agreement), and except as provided otherwise in the Settlement Order, each Prepetition Trustee is authorized and directed to release the Restricted Cash to the Purchaser (as defined in the applicable Sale Order) and such Purchaser shall use such</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Restricted Cash to fund the Plan Funding Account (as defined in the Settlement Order</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For the avoidance of doubt, no funds held in trust for the Resid Trustee or in the Resid Securitization Accounts (as defined in the Cash Management Motion) shall be accessed without further order or consent of the Resid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UMB Bank, N.A., in its capacity as predecessor indenture trustee and securities intermediary under the Resid Base Indenture, may apply $168,134.35 of funds that it presently holds in a Resid Securitization Account to pay and satisfy in full all fees and expenses owed to it in such capacity and shall remit any remaining balance in such Resid Securitization Account to the successor Resid Trustee and, once with the successor Resid Trustee, such funds shall be distributed pursuant to the Chapter 11 Plan (as defined in the Settlement Order) and consistent with the priorities set forth in the Resid Base Indenture, and the automatic stay is modified as necessary to facilitate such payment and transfer of funds pursuant to the Resid 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2" w:lineRule="exact"/>
        <w:rPr>
          <w:sz w:val="20"/>
          <w:szCs w:val="20"/>
          <w:color w:val="auto"/>
        </w:rPr>
      </w:pPr>
    </w:p>
    <w:p>
      <w:pPr>
        <w:jc w:val="both"/>
        <w:ind w:left="340" w:hanging="332"/>
        <w:spacing w:after="0" w:line="225" w:lineRule="auto"/>
        <w:tabs>
          <w:tab w:leader="none" w:pos="34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Orders</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Order (I) Authorizing and Approving Debtors’ Entry Into Purchase Agreement and Selection of Backup Bid, (II) Authorizing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FBG Assets to Purchaser Free and Clear of All Liens, Claims, and Interests, (III) Approving Assumption and Assignment of Designated Contracts, and (IV) Granting Related Relief</w:t>
      </w:r>
      <w:r>
        <w:rPr>
          <w:rFonts w:ascii="Times New Roman" w:cs="Times New Roman" w:eastAsia="Times New Roman" w:hAnsi="Times New Roman"/>
          <w:sz w:val="18"/>
          <w:szCs w:val="18"/>
          <w:color w:val="auto"/>
        </w:rPr>
        <w:t>, and (b)</w:t>
      </w:r>
      <w:r>
        <w:rPr>
          <w:rFonts w:ascii="Times New Roman" w:cs="Times New Roman" w:eastAsia="Times New Roman" w:hAnsi="Times New Roman"/>
          <w:sz w:val="18"/>
          <w:szCs w:val="18"/>
          <w:i w:val="1"/>
          <w:iCs w:val="1"/>
          <w:color w:val="auto"/>
        </w:rPr>
        <w:t xml:space="preserve"> Order (I) Authorizing and Approving Debtors’ Entry Into Purchase Agreement, (II) Authorizing Sale of Twin Peaks Assets to Purchaser Free and Clear of All Liens, Claims, and Interests, (III) Approving Assumption and Assignment of Designated Contracts, and (IV) Granting Related Relief</w:t>
      </w:r>
      <w:r>
        <w:rPr>
          <w:rFonts w:ascii="Times New Roman" w:cs="Times New Roman" w:eastAsia="Times New Roman" w:hAnsi="Times New Roman"/>
          <w:sz w:val="18"/>
          <w:szCs w:val="18"/>
          <w:color w:val="auto"/>
        </w:rPr>
        <w:t>, entered contemporaneously with this Final Order.</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Settlement Order</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Order (I) Authorizing Entry Into and Performance Under the Settlement Term Sheet;</w:t>
      </w:r>
    </w:p>
    <w:p>
      <w:pPr>
        <w:spacing w:after="0" w:line="2" w:lineRule="exact"/>
        <w:rPr>
          <w:sz w:val="20"/>
          <w:szCs w:val="20"/>
          <w:color w:val="auto"/>
        </w:rPr>
      </w:pPr>
    </w:p>
    <w:p>
      <w:pPr>
        <w:ind w:left="620" w:hanging="288"/>
        <w:spacing w:after="0"/>
        <w:tabs>
          <w:tab w:leader="none" w:pos="620"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Approving, Pursuant to Bankruptcy Rule 9019, the Terms of the Global Settlement Contained Therein; and</w:t>
      </w:r>
    </w:p>
    <w:p>
      <w:pPr>
        <w:spacing w:after="0" w:line="7" w:lineRule="exact"/>
        <w:rPr>
          <w:rFonts w:ascii="Times New Roman" w:cs="Times New Roman" w:eastAsia="Times New Roman" w:hAnsi="Times New Roman"/>
          <w:sz w:val="18"/>
          <w:szCs w:val="18"/>
          <w:i w:val="1"/>
          <w:iCs w:val="1"/>
          <w:color w:val="auto"/>
        </w:rPr>
      </w:pPr>
    </w:p>
    <w:p>
      <w:pPr>
        <w:ind w:left="680" w:hanging="348"/>
        <w:spacing w:after="0"/>
        <w:tabs>
          <w:tab w:leader="none" w:pos="680" w:val="left"/>
        </w:tabs>
        <w:numPr>
          <w:ilvl w:val="0"/>
          <w:numId w:val="1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Granting Related Relief, entered contemporaneously with this Final Order.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both"/>
        <w:ind w:firstLine="656"/>
        <w:spacing w:after="0" w:line="234" w:lineRule="auto"/>
        <w:tabs>
          <w:tab w:leader="none" w:pos="9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Texas Tax Resolution</w:t>
      </w:r>
      <w:r>
        <w:rPr>
          <w:rFonts w:ascii="Times New Roman" w:cs="Times New Roman" w:eastAsia="Times New Roman" w:hAnsi="Times New Roman"/>
          <w:sz w:val="18"/>
          <w:szCs w:val="18"/>
          <w:color w:val="auto"/>
        </w:rPr>
        <w:t>. Notwithstanding anything therein, nothing shall prime the statutory liens held by Texas Taxing Entities</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 valorem taxes (the “</w:t>
      </w:r>
      <w:r>
        <w:rPr>
          <w:rFonts w:ascii="Times New Roman" w:cs="Times New Roman" w:eastAsia="Times New Roman" w:hAnsi="Times New Roman"/>
          <w:sz w:val="18"/>
          <w:szCs w:val="18"/>
          <w:b w:val="1"/>
          <w:bCs w:val="1"/>
          <w:i w:val="1"/>
          <w:iCs w:val="1"/>
          <w:color w:val="auto"/>
        </w:rPr>
        <w:t>Texas Tax Liens</w:t>
      </w:r>
      <w:r>
        <w:rPr>
          <w:rFonts w:ascii="Times New Roman" w:cs="Times New Roman" w:eastAsia="Times New Roman" w:hAnsi="Times New Roman"/>
          <w:sz w:val="18"/>
          <w:szCs w:val="18"/>
          <w:color w:val="auto"/>
        </w:rPr>
        <w:t>”) solely to the extent any such Texas Tax Liens were valid, non-avoidable, and properly perfected as of the Petition Date (or were in existence immediately prior to the Petition Date and are properly perfected subsequent to the Petition Date as permitted by section 546(b) of the Bankruptcy Code) and were senior to any applicable Prepetition Liens. All rights of the Debtors’ to object to the priority, validity, amount, and extent of the Texas Tax Liens and such claims held by the Texas Taxing Entities are fully preserved.</w:t>
      </w:r>
    </w:p>
    <w:p>
      <w:pPr>
        <w:spacing w:after="0" w:line="196" w:lineRule="exact"/>
        <w:rPr>
          <w:rFonts w:ascii="Times New Roman" w:cs="Times New Roman" w:eastAsia="Times New Roman" w:hAnsi="Times New Roman"/>
          <w:sz w:val="18"/>
          <w:szCs w:val="18"/>
          <w:color w:val="auto"/>
        </w:rPr>
      </w:pPr>
    </w:p>
    <w:p>
      <w:pPr>
        <w:jc w:val="both"/>
        <w:ind w:firstLine="656"/>
        <w:spacing w:after="0" w:line="263" w:lineRule="auto"/>
        <w:tabs>
          <w:tab w:leader="none" w:pos="9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Back-Up Manager Expenses</w:t>
      </w:r>
      <w:r>
        <w:rPr>
          <w:rFonts w:ascii="Times New Roman" w:cs="Times New Roman" w:eastAsia="Times New Roman" w:hAnsi="Times New Roman"/>
          <w:sz w:val="18"/>
          <w:szCs w:val="18"/>
          <w:color w:val="auto"/>
        </w:rPr>
        <w:t>. Nothing in this Final Order shall impair, subordinate, or otherwise affect the rights and entitlements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Manager to receive payment of all Back-Up Manager Fees (including reimbursable expenses), in each case as Securitization Operating Expenses in accordance with and subject to the Priority of Payments and other terms and conditions of the applicable Indentures. Such fees and expenses constitute secured Obligations under the FBG Prepetition Indenture, the Twin Prepetition Indenture, and the Resid Base Indenture (as defined in the First Day Declaration), as applicable, secured by the Indenture Collateral for the benefit of the Secured Parties, and nothing in this Order shall alter the Liens securing such Obligations or otherwise impair the Back-Up Manager’s rights and entitlements as a Secured Party to such fees and expenses.</w:t>
      </w:r>
      <w:r>
        <w:rPr>
          <w:rFonts w:ascii="Times New Roman" w:cs="Times New Roman" w:eastAsia="Times New Roman" w:hAnsi="Times New Roman"/>
          <w:sz w:val="29"/>
          <w:szCs w:val="29"/>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783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0" w:lineRule="exact"/>
        <w:rPr>
          <w:sz w:val="20"/>
          <w:szCs w:val="20"/>
          <w:color w:val="auto"/>
        </w:rPr>
      </w:pPr>
    </w:p>
    <w:p>
      <w:pPr>
        <w:jc w:val="both"/>
        <w:ind w:left="340" w:hanging="332"/>
        <w:spacing w:after="0" w:line="225" w:lineRule="auto"/>
        <w:tabs>
          <w:tab w:leader="none" w:pos="34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Texas Taxing Entities</w:t>
      </w:r>
      <w:r>
        <w:rPr>
          <w:rFonts w:ascii="Times New Roman" w:cs="Times New Roman" w:eastAsia="Times New Roman" w:hAnsi="Times New Roman"/>
          <w:sz w:val="18"/>
          <w:szCs w:val="18"/>
          <w:color w:val="auto"/>
        </w:rPr>
        <w:t>” means Bexar County, Collin County, Dallas County, Collin College, Ector County Appraisal District, City of El Paso, Lewisville Independent School District, City of McKinney, City of Northlake, Northwest Independent School District, City of Plano, Plano Independent School District San Marcos Consolidated Independent School District, Tarrant County, Tom Green County Appraisal District, Burleson Independent School District, Carrollton-Farmers Branch Independent School, Taxing Districts Collected By Potter County, City of Lewisville, Denton County, Denton County Emergency Services District #1, Denton County Emergency Services District #2, Hays County and Williamson County.</w:t>
      </w:r>
    </w:p>
    <w:p>
      <w:pPr>
        <w:spacing w:after="0" w:line="200"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in this Paragraph 29, but not otherwise defined in this Final Order, shall have the meaning ascribed to them in FBG Prepetition Indenture, the Twin Prepetition Indenture, and the Resid Base Indenture (as defined in the First Day Declaration), as applicable.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firstLine="656"/>
        <w:spacing w:after="0" w:line="286" w:lineRule="auto"/>
        <w:tabs>
          <w:tab w:leader="none" w:pos="9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WBS Ad Hoc Group, Resid Noteholders, and Committee Settlement</w:t>
      </w:r>
      <w:r>
        <w:rPr>
          <w:rFonts w:ascii="Times New Roman" w:cs="Times New Roman" w:eastAsia="Times New Roman" w:hAnsi="Times New Roman"/>
          <w:sz w:val="18"/>
          <w:szCs w:val="18"/>
          <w:color w:val="auto"/>
        </w:rPr>
        <w:t>. Reference is made to that certain Settlement Term Sheet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Debtors, the Committee, the Resid Noteholders, and the WBS Ad Hoc Group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 the Settlement Order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55" w:lineRule="auto"/>
        <w:tabs>
          <w:tab w:leader="none" w:pos="187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Settlement are incorporated herein as if expressly set forth herein, and, notwithstanding anything to the contrary set forth herein, approval and effectiveness of the DIP Facility on a final basis is expressly conditioned upon the approval of the Settlement Order by the Court and the consummation of the Credit Bids (as set forth and defined in the Settlement). For the avoidance of doubt, to the extent that the Credit Bids do not close as contemplated by the Settlement, the provisions set forth in the Interim Order that were “subject to entry of the Final Order” and approved herein on a final basis, including the granting of liens on the proceeds of Avoidance Actions, waivers pursuant to sections 506(c) and 552(b) of the Bankruptcy Code, and the waiver of the equitable doctrine of marshaling, shall no longer be deemed approved on a final basis and shall remain subject to further approval by the Court.</w:t>
      </w:r>
    </w:p>
    <w:p>
      <w:pPr>
        <w:spacing w:after="0" w:line="188"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90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in no way shall the Wind-Down Budget be construed as a cap or limitation on the amount of Allowed Professional Fees due and payable by the Debtors or that may be allowed by the Court at any time, and (ii) the Debtors shall continue to fund the Escrow Account on a weekly basis through and including the Plan Effective Date in accordance with Paragraph 8(c) of this Final Order.</w:t>
      </w:r>
    </w:p>
    <w:p>
      <w:pPr>
        <w:spacing w:after="0" w:line="171"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Committee Challenge</w:t>
      </w:r>
      <w:r>
        <w:rPr>
          <w:rFonts w:ascii="Times New Roman" w:cs="Times New Roman" w:eastAsia="Times New Roman" w:hAnsi="Times New Roman"/>
          <w:sz w:val="17"/>
          <w:szCs w:val="17"/>
          <w:color w:val="auto"/>
        </w:rPr>
        <w:t>. On May 4, 2026, the Committee filed the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Motion of the Official Committee of Unsecured Creditors for</w:t>
      </w:r>
    </w:p>
    <w:p>
      <w:pPr>
        <w:spacing w:after="0" w:line="42" w:lineRule="exact"/>
        <w:rPr>
          <w:rFonts w:ascii="Times New Roman" w:cs="Times New Roman" w:eastAsia="Times New Roman" w:hAnsi="Times New Roman"/>
          <w:sz w:val="17"/>
          <w:szCs w:val="17"/>
          <w:color w:val="auto"/>
        </w:rPr>
      </w:pPr>
    </w:p>
    <w:p>
      <w:pPr>
        <w:jc w:val="both"/>
        <w:ind w:left="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(I) Leave, Standing, and Authority to Commence and Prosecute Certain Claims and Causes of Action on Behalf of the Debtors’ Estates and (II) Exclusive Settlement Authority in Connection Therewit</w:t>
      </w:r>
      <w:r>
        <w:rPr>
          <w:rFonts w:ascii="Times New Roman" w:cs="Times New Roman" w:eastAsia="Times New Roman" w:hAnsi="Times New Roman"/>
          <w:sz w:val="18"/>
          <w:szCs w:val="18"/>
          <w:color w:val="auto"/>
        </w:rPr>
        <w:t>h [Docket No. 1176] (the “</w:t>
      </w:r>
      <w:r>
        <w:rPr>
          <w:rFonts w:ascii="Times New Roman" w:cs="Times New Roman" w:eastAsia="Times New Roman" w:hAnsi="Times New Roman"/>
          <w:sz w:val="18"/>
          <w:szCs w:val="18"/>
          <w:b w:val="1"/>
          <w:bCs w:val="1"/>
          <w:i w:val="1"/>
          <w:iCs w:val="1"/>
          <w:color w:val="auto"/>
        </w:rPr>
        <w:t>Committee Standing Motion</w:t>
      </w:r>
      <w:r>
        <w:rPr>
          <w:rFonts w:ascii="Times New Roman" w:cs="Times New Roman" w:eastAsia="Times New Roman" w:hAnsi="Times New Roman"/>
          <w:sz w:val="18"/>
          <w:szCs w:val="18"/>
          <w:color w:val="auto"/>
        </w:rPr>
        <w:t>”) prior to the Challenge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Termination Date in compliance with paragraph 7(a) of the Second Interim DIP Order and (ii) </w:t>
      </w:r>
      <w:r>
        <w:rPr>
          <w:rFonts w:ascii="Times New Roman" w:cs="Times New Roman" w:eastAsia="Times New Roman" w:hAnsi="Times New Roman"/>
          <w:sz w:val="18"/>
          <w:szCs w:val="18"/>
          <w:i w:val="1"/>
          <w:iCs w:val="1"/>
          <w:color w:val="auto"/>
        </w:rPr>
        <w:t>Adversary Complaint Against the Securitization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Issuers, the Other Securitization Entities, and the Securitization Trustees </w:t>
      </w:r>
      <w:r>
        <w:rPr>
          <w:rFonts w:ascii="Times New Roman" w:cs="Times New Roman" w:eastAsia="Times New Roman" w:hAnsi="Times New Roman"/>
          <w:sz w:val="18"/>
          <w:szCs w:val="18"/>
          <w:color w:val="auto"/>
        </w:rPr>
        <w:t>[Docket No. 1178] (the “</w:t>
      </w:r>
      <w:r>
        <w:rPr>
          <w:rFonts w:ascii="Times New Roman" w:cs="Times New Roman" w:eastAsia="Times New Roman" w:hAnsi="Times New Roman"/>
          <w:sz w:val="18"/>
          <w:szCs w:val="18"/>
          <w:b w:val="1"/>
          <w:bCs w:val="1"/>
          <w:i w:val="1"/>
          <w:iCs w:val="1"/>
          <w:color w:val="auto"/>
        </w:rPr>
        <w:t>Manager Advance Complaint</w:t>
      </w:r>
      <w:r>
        <w:rPr>
          <w:rFonts w:ascii="Times New Roman" w:cs="Times New Roman" w:eastAsia="Times New Roman" w:hAnsi="Times New Roman"/>
          <w:sz w:val="18"/>
          <w:szCs w:val="18"/>
          <w:color w:val="auto"/>
        </w:rPr>
        <w:t>”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adversary proceeding, the “</w:t>
      </w:r>
      <w:r>
        <w:rPr>
          <w:rFonts w:ascii="Times New Roman" w:cs="Times New Roman" w:eastAsia="Times New Roman" w:hAnsi="Times New Roman"/>
          <w:sz w:val="18"/>
          <w:szCs w:val="18"/>
          <w:b w:val="1"/>
          <w:bCs w:val="1"/>
          <w:i w:val="1"/>
          <w:iCs w:val="1"/>
          <w:color w:val="auto"/>
        </w:rPr>
        <w:t>Manager Advance Adversary Proceeding</w:t>
      </w:r>
      <w:r>
        <w:rPr>
          <w:rFonts w:ascii="Times New Roman" w:cs="Times New Roman" w:eastAsia="Times New Roman" w:hAnsi="Times New Roman"/>
          <w:sz w:val="18"/>
          <w:szCs w:val="18"/>
          <w:color w:val="auto"/>
        </w:rPr>
        <w:t>”) prior to the Challenge Period Termination Date in compliance with paragraph 7(b) of the Second Interim DIP Order. Pursuant to the Settlement, the Committee Standing Motion and the Manager Advance Adversary Proceeding shall be dismissed with prejudice within two (2) days following the closing of the Credit Bids, as set forth in the Settlement Order. For the avoidance of doubt, to the extent that the Credit Bids are not consummated as set forth in the Settlement, the Committee may continue to prosecute the Committee Standing Motion and the Manager Advance Adversary Proceeding and all parties’ rights in respect thereof are preserved.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both"/>
        <w:ind w:left="660" w:firstLine="968"/>
        <w:spacing w:after="0" w:line="252" w:lineRule="auto"/>
        <w:tabs>
          <w:tab w:leader="none" w:pos="188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Resid Challenge</w:t>
      </w:r>
      <w:r>
        <w:rPr>
          <w:rFonts w:ascii="Times New Roman" w:cs="Times New Roman" w:eastAsia="Times New Roman" w:hAnsi="Times New Roman"/>
          <w:sz w:val="18"/>
          <w:szCs w:val="18"/>
          <w:color w:val="auto"/>
        </w:rPr>
        <w:t>. On February 13, 2026, the Resid Noteholders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Complaint for Declaratory Judgment to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Validity, Extent, and Priority of Liens and Interests in Property </w:t>
      </w:r>
      <w:r>
        <w:rPr>
          <w:rFonts w:ascii="Times New Roman" w:cs="Times New Roman" w:eastAsia="Times New Roman" w:hAnsi="Times New Roman"/>
          <w:sz w:val="18"/>
          <w:szCs w:val="18"/>
          <w:color w:val="auto"/>
        </w:rPr>
        <w:t>[Resid Adv. Docket No. 1] (the “</w:t>
      </w:r>
      <w:r>
        <w:rPr>
          <w:rFonts w:ascii="Times New Roman" w:cs="Times New Roman" w:eastAsia="Times New Roman" w:hAnsi="Times New Roman"/>
          <w:sz w:val="18"/>
          <w:szCs w:val="18"/>
          <w:b w:val="1"/>
          <w:bCs w:val="1"/>
          <w:i w:val="1"/>
          <w:iCs w:val="1"/>
          <w:color w:val="auto"/>
        </w:rPr>
        <w:t>Resid Adversary Complaint</w:t>
      </w:r>
      <w:r>
        <w:rPr>
          <w:rFonts w:ascii="Times New Roman" w:cs="Times New Roman" w:eastAsia="Times New Roman" w:hAnsi="Times New Roman"/>
          <w:sz w:val="18"/>
          <w:szCs w:val="18"/>
          <w:color w:val="auto"/>
        </w:rPr>
        <w:t>”), initiating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adversary proceeding styled </w:t>
      </w:r>
      <w:r>
        <w:rPr>
          <w:rFonts w:ascii="Times New Roman" w:cs="Times New Roman" w:eastAsia="Times New Roman" w:hAnsi="Times New Roman"/>
          <w:sz w:val="18"/>
          <w:szCs w:val="18"/>
          <w:i w:val="1"/>
          <w:iCs w:val="1"/>
          <w:color w:val="auto"/>
        </w:rPr>
        <w:t>3|5|2 Cap. GP LLC, on</w:t>
      </w:r>
      <w:r>
        <w:rPr>
          <w:rFonts w:ascii="Times New Roman" w:cs="Times New Roman" w:eastAsia="Times New Roman" w:hAnsi="Times New Roman"/>
          <w:sz w:val="18"/>
          <w:szCs w:val="18"/>
          <w:color w:val="auto"/>
        </w:rPr>
        <w:t xml:space="preserve"> behalf of 3|5|2 Cap. ABS Master Fund LP v. FAT Brands Inc., et. al, Adv. Proc. No. 26-90126 (ARP) (Bankr. S.D. Tex. 2026) (the “</w:t>
      </w:r>
      <w:r>
        <w:rPr>
          <w:rFonts w:ascii="Times New Roman" w:cs="Times New Roman" w:eastAsia="Times New Roman" w:hAnsi="Times New Roman"/>
          <w:sz w:val="18"/>
          <w:szCs w:val="18"/>
          <w:b w:val="1"/>
          <w:bCs w:val="1"/>
          <w:i w:val="1"/>
          <w:iCs w:val="1"/>
          <w:color w:val="auto"/>
        </w:rPr>
        <w:t>Resid Adversary Proceeding</w:t>
      </w:r>
      <w:r>
        <w:rPr>
          <w:rFonts w:ascii="Times New Roman" w:cs="Times New Roman" w:eastAsia="Times New Roman" w:hAnsi="Times New Roman"/>
          <w:sz w:val="18"/>
          <w:szCs w:val="18"/>
          <w:color w:val="auto"/>
        </w:rPr>
        <w:t xml:space="preserve">”). On May 1, 2026, the Resid Noteholders filed (i) the </w:t>
      </w:r>
      <w:r>
        <w:rPr>
          <w:rFonts w:ascii="Times New Roman" w:cs="Times New Roman" w:eastAsia="Times New Roman" w:hAnsi="Times New Roman"/>
          <w:sz w:val="18"/>
          <w:szCs w:val="18"/>
          <w:i w:val="1"/>
          <w:iCs w:val="1"/>
          <w:color w:val="auto"/>
        </w:rPr>
        <w:t>Joint Limited Objection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and Notice of Challenge Pursuant to, Emergency Motion of the Debtors for Entry of Interim and Final Orders (I) Authorizing the Debtors to Use Cash Collateral and Obtain Secured Postpetition 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1157] (the “</w:t>
      </w:r>
      <w:r>
        <w:rPr>
          <w:rFonts w:ascii="Times New Roman" w:cs="Times New Roman" w:eastAsia="Times New Roman" w:hAnsi="Times New Roman"/>
          <w:sz w:val="18"/>
          <w:szCs w:val="18"/>
          <w:b w:val="1"/>
          <w:bCs w:val="1"/>
          <w:i w:val="1"/>
          <w:iCs w:val="1"/>
          <w:color w:val="auto"/>
        </w:rPr>
        <w:t>Resid DIP Objection and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of Challenge</w:t>
      </w:r>
      <w:r>
        <w:rPr>
          <w:rFonts w:ascii="Times New Roman" w:cs="Times New Roman" w:eastAsia="Times New Roman" w:hAnsi="Times New Roman"/>
          <w:sz w:val="18"/>
          <w:szCs w:val="18"/>
          <w:color w:val="auto"/>
        </w:rPr>
        <w:t>”); (ii)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Joint Objection of the Resid Secured Parties to Approval of the Debtors’ Sales Free and Clear Pursuant to Section 363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[Docket No. 1156] (the “</w:t>
      </w:r>
      <w:r>
        <w:rPr>
          <w:rFonts w:ascii="Times New Roman" w:cs="Times New Roman" w:eastAsia="Times New Roman" w:hAnsi="Times New Roman"/>
          <w:sz w:val="18"/>
          <w:szCs w:val="18"/>
          <w:b w:val="1"/>
          <w:bCs w:val="1"/>
          <w:i w:val="1"/>
          <w:iCs w:val="1"/>
          <w:color w:val="auto"/>
        </w:rPr>
        <w:t>Resid Sale Objection</w:t>
      </w:r>
      <w:r>
        <w:rPr>
          <w:rFonts w:ascii="Times New Roman" w:cs="Times New Roman" w:eastAsia="Times New Roman" w:hAnsi="Times New Roman"/>
          <w:sz w:val="18"/>
          <w:szCs w:val="18"/>
          <w:color w:val="auto"/>
        </w:rPr>
        <w:t xml:space="preserve">”); and (iii) </w:t>
      </w:r>
      <w:r>
        <w:rPr>
          <w:rFonts w:ascii="Times New Roman" w:cs="Times New Roman" w:eastAsia="Times New Roman" w:hAnsi="Times New Roman"/>
          <w:sz w:val="18"/>
          <w:szCs w:val="18"/>
          <w:i w:val="1"/>
          <w:iCs w:val="1"/>
          <w:color w:val="auto"/>
        </w:rPr>
        <w:t>352 Capital’s Omnibus Objection to the Claims of the FBG Prepetition Secured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Pursuant to Bankruptcy Code Section 502, Bankruptcy Rule 3007, and Bankruptcy Local Rule 3007-1 on the Grounds that the Claims are Not Senior Secured Claims </w:t>
      </w:r>
      <w:r>
        <w:rPr>
          <w:rFonts w:ascii="Times New Roman" w:cs="Times New Roman" w:eastAsia="Times New Roman" w:hAnsi="Times New Roman"/>
          <w:sz w:val="18"/>
          <w:szCs w:val="18"/>
          <w:color w:val="auto"/>
        </w:rPr>
        <w:t>[Docket No. 1151] (the “</w:t>
      </w:r>
      <w:r>
        <w:rPr>
          <w:rFonts w:ascii="Times New Roman" w:cs="Times New Roman" w:eastAsia="Times New Roman" w:hAnsi="Times New Roman"/>
          <w:sz w:val="18"/>
          <w:szCs w:val="18"/>
          <w:b w:val="1"/>
          <w:bCs w:val="1"/>
          <w:i w:val="1"/>
          <w:iCs w:val="1"/>
          <w:color w:val="auto"/>
        </w:rPr>
        <w:t>Resid Claim Objection</w:t>
      </w:r>
      <w:r>
        <w:rPr>
          <w:rFonts w:ascii="Times New Roman" w:cs="Times New Roman" w:eastAsia="Times New Roman" w:hAnsi="Times New Roman"/>
          <w:sz w:val="18"/>
          <w:szCs w:val="18"/>
          <w:color w:val="auto"/>
        </w:rPr>
        <w:t>” and, together with the Resid Adversary Proceeding, the Resid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Objection and Notice of Challenge, and the Resid Sale Objection, the “</w:t>
      </w:r>
      <w:r>
        <w:rPr>
          <w:rFonts w:ascii="Times New Roman" w:cs="Times New Roman" w:eastAsia="Times New Roman" w:hAnsi="Times New Roman"/>
          <w:sz w:val="18"/>
          <w:szCs w:val="18"/>
          <w:b w:val="1"/>
          <w:bCs w:val="1"/>
          <w:i w:val="1"/>
          <w:iCs w:val="1"/>
          <w:color w:val="auto"/>
        </w:rPr>
        <w:t>Resid Challenge</w:t>
      </w:r>
      <w:r>
        <w:rPr>
          <w:rFonts w:ascii="Times New Roman" w:cs="Times New Roman" w:eastAsia="Times New Roman" w:hAnsi="Times New Roman"/>
          <w:sz w:val="18"/>
          <w:szCs w:val="18"/>
          <w:color w:val="auto"/>
        </w:rPr>
        <w:t>”). The Resid Challenge was timely filed prior to the Challenge Period Termination Date in compliance with paragraph 7(a) of the Second Interim DIP Order. Pursuant to the Settlement, the Resid Challenge shall be dismissed with prejudice within two (2) days following the closing of the Credit Bids, as set forth in the Settlement Order. For the avoidance of doubt, to the extent that the Credit Bids are not consummated as set forth in the Settlement, the Resid Noteholders may continue to prosecute the Resid Challenge and all parties’ rights in respect thereof are preserved.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AIfredo R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AIfredo R Perez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240" w:type="dxa"/>
            <w:vAlign w:val="bottom"/>
          </w:tcPr>
          <w:p>
            <w:pPr>
              <w:spacing w:after="0"/>
              <w:rPr>
                <w:sz w:val="18"/>
                <w:szCs w:val="18"/>
                <w:color w:val="auto"/>
              </w:rPr>
            </w:pPr>
          </w:p>
        </w:tc>
        <w:tc>
          <w:tcPr>
            <w:tcW w:w="20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FBG DIP</w:t>
            </w: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0" w:type="dxa"/>
            <w:vAlign w:val="bottom"/>
          </w:tcPr>
          <w:p>
            <w:pPr>
              <w:spacing w:after="0"/>
              <w:rPr>
                <w:sz w:val="1"/>
                <w:szCs w:val="1"/>
                <w:color w:val="auto"/>
              </w:rPr>
            </w:pPr>
          </w:p>
        </w:tc>
      </w:tr>
      <w:tr>
        <w:trPr>
          <w:trHeight w:val="187"/>
        </w:trPr>
        <w:tc>
          <w:tcPr>
            <w:tcW w:w="1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First</w:t>
            </w:r>
          </w:p>
        </w:tc>
        <w:tc>
          <w:tcPr>
            <w:tcW w:w="240" w:type="dxa"/>
            <w:vAlign w:val="bottom"/>
          </w:tcPr>
          <w:p>
            <w:pPr>
              <w:spacing w:after="0"/>
              <w:rPr>
                <w:sz w:val="16"/>
                <w:szCs w:val="16"/>
                <w:color w:val="auto"/>
              </w:rPr>
            </w:pPr>
          </w:p>
        </w:tc>
        <w:tc>
          <w:tcPr>
            <w:tcW w:w="20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Carve-Out</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Second</w:t>
            </w: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Permitted Prior Liens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(subject to Paragraph 2(p))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ANNEX 1</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6"/>
        </w:trPr>
        <w:tc>
          <w:tcPr>
            <w:tcW w:w="614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color w:val="auto"/>
                <w:w w:val="98"/>
              </w:rPr>
              <w:t>LIEN AND ADMINISTRATIVE CLAIM PRIORITIES</w:t>
            </w:r>
            <w:r>
              <w:rPr>
                <w:rFonts w:ascii="Times New Roman" w:cs="Times New Roman" w:eastAsia="Times New Roman" w:hAnsi="Times New Roman"/>
                <w:sz w:val="29"/>
                <w:szCs w:val="29"/>
                <w:color w:val="auto"/>
                <w:w w:val="98"/>
                <w:vertAlign w:val="superscript"/>
              </w:rPr>
              <w:t>18</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FBG</w:t>
            </w:r>
          </w:p>
        </w:tc>
        <w:tc>
          <w:tcPr>
            <w:tcW w:w="220" w:type="dxa"/>
            <w:vAlign w:val="bottom"/>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Twin</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040" w:type="dxa"/>
            <w:vAlign w:val="bottom"/>
            <w:gridSpan w:val="2"/>
          </w:tcPr>
          <w:p>
            <w:pPr>
              <w:ind w:left="640"/>
              <w:spacing w:after="0" w:line="184" w:lineRule="exact"/>
              <w:rPr>
                <w:sz w:val="20"/>
                <w:szCs w:val="20"/>
                <w:color w:val="auto"/>
              </w:rPr>
            </w:pPr>
            <w:r>
              <w:rPr>
                <w:rFonts w:ascii="Times New Roman" w:cs="Times New Roman" w:eastAsia="Times New Roman" w:hAnsi="Times New Roman"/>
                <w:sz w:val="18"/>
                <w:szCs w:val="18"/>
                <w:b w:val="1"/>
                <w:bCs w:val="1"/>
                <w:color w:val="auto"/>
              </w:rPr>
              <w:t>Twin DIP</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Unencumbered</w:t>
            </w:r>
          </w:p>
        </w:tc>
        <w:tc>
          <w:tcPr>
            <w:tcW w:w="220" w:type="dxa"/>
            <w:vAlign w:val="bottom"/>
          </w:tcPr>
          <w:p>
            <w:pPr>
              <w:spacing w:after="0"/>
              <w:rPr>
                <w:sz w:val="16"/>
                <w:szCs w:val="16"/>
                <w:color w:val="auto"/>
              </w:rPr>
            </w:pPr>
          </w:p>
        </w:tc>
        <w:tc>
          <w:tcPr>
            <w:tcW w:w="2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Unencumbered</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220" w:type="dxa"/>
            <w:vAlign w:val="bottom"/>
          </w:tcPr>
          <w:p>
            <w:pPr>
              <w:spacing w:after="0"/>
              <w:rPr>
                <w:sz w:val="23"/>
                <w:szCs w:val="23"/>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15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Priority Claims</w:t>
            </w:r>
            <w:r>
              <w:rPr>
                <w:rFonts w:ascii="Times New Roman" w:cs="Times New Roman" w:eastAsia="Times New Roman" w:hAnsi="Times New Roman"/>
                <w:sz w:val="29"/>
                <w:szCs w:val="29"/>
                <w:b w:val="1"/>
                <w:bCs w:val="1"/>
                <w:color w:val="auto"/>
                <w:w w:val="96"/>
                <w:vertAlign w:val="superscript"/>
              </w:rPr>
              <w:t>19</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0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Carve-Out</w:t>
            </w:r>
          </w:p>
        </w:tc>
        <w:tc>
          <w:tcPr>
            <w:tcW w:w="220" w:type="dxa"/>
            <w:vAlign w:val="bottom"/>
          </w:tcPr>
          <w:p>
            <w:pPr>
              <w:spacing w:after="0"/>
              <w:rPr>
                <w:sz w:val="16"/>
                <w:szCs w:val="16"/>
                <w:color w:val="auto"/>
              </w:rPr>
            </w:pPr>
          </w:p>
        </w:tc>
        <w:tc>
          <w:tcPr>
            <w:tcW w:w="15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Carve-Out</w:t>
            </w:r>
          </w:p>
        </w:tc>
        <w:tc>
          <w:tcPr>
            <w:tcW w:w="2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Carve-Out</w:t>
            </w: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Carve-Out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Prior Liens</w:t>
            </w:r>
          </w:p>
        </w:tc>
        <w:tc>
          <w:tcPr>
            <w:tcW w:w="17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Permitted Prior Liens</w:t>
            </w: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Permitted Prior Liens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Intercompany Claims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Paragraph 2(p))</w:t>
            </w:r>
          </w:p>
        </w:tc>
        <w:tc>
          <w:tcPr>
            <w:tcW w:w="17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(subject to Paragraph</w:t>
            </w: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(subject to Paragraph</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2(p))</w:t>
            </w: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2(p))</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2">
            <w:col w:w="3400" w:space="140"/>
            <w:col w:w="7700"/>
          </w:cols>
          <w:pgMar w:left="320" w:top="648" w:right="339" w:bottom="1440" w:gutter="0" w:footer="0" w:header="0"/>
        </w:sect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i w:val="1"/>
          <w:iCs w:val="1"/>
          <w:color w:val="auto"/>
        </w:rPr>
        <w:t>Third</w:t>
      </w:r>
      <w:r>
        <w:rPr>
          <w:sz w:val="20"/>
          <w:szCs w:val="20"/>
          <w:color w:val="auto"/>
        </w:rPr>
        <w:tab/>
      </w:r>
      <w:r>
        <w:rPr>
          <w:rFonts w:ascii="Times New Roman" w:cs="Times New Roman" w:eastAsia="Times New Roman" w:hAnsi="Times New Roman"/>
          <w:sz w:val="18"/>
          <w:szCs w:val="18"/>
          <w:color w:val="auto"/>
        </w:rPr>
        <w:t>Intercompany Liens</w:t>
      </w:r>
    </w:p>
    <w:p>
      <w:pPr>
        <w:spacing w:after="0" w:line="200" w:lineRule="exact"/>
        <w:rPr>
          <w:sz w:val="20"/>
          <w:szCs w:val="20"/>
          <w:color w:val="auto"/>
        </w:rPr>
      </w:pPr>
    </w:p>
    <w:p>
      <w:pPr>
        <w:spacing w:after="0" w:line="24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i w:val="1"/>
          <w:iCs w:val="1"/>
          <w:color w:val="auto"/>
        </w:rPr>
        <w:t>Fourth</w:t>
      </w:r>
      <w:r>
        <w:rPr>
          <w:sz w:val="20"/>
          <w:szCs w:val="20"/>
          <w:color w:val="auto"/>
        </w:rPr>
        <w:tab/>
      </w:r>
      <w:r>
        <w:rPr>
          <w:rFonts w:ascii="Times New Roman" w:cs="Times New Roman" w:eastAsia="Times New Roman" w:hAnsi="Times New Roman"/>
          <w:sz w:val="18"/>
          <w:szCs w:val="18"/>
          <w:color w:val="auto"/>
        </w:rPr>
        <w:t>Any Manager Advances</w:t>
      </w:r>
    </w:p>
    <w:p>
      <w:pPr>
        <w:spacing w:after="0" w:line="31" w:lineRule="exact"/>
        <w:rPr>
          <w:sz w:val="20"/>
          <w:szCs w:val="20"/>
          <w:color w:val="auto"/>
        </w:rPr>
      </w:pPr>
    </w:p>
    <w:p>
      <w:pPr>
        <w:ind w:left="1380"/>
        <w:spacing w:after="0" w:line="251" w:lineRule="auto"/>
        <w:rPr>
          <w:sz w:val="20"/>
          <w:szCs w:val="20"/>
          <w:color w:val="auto"/>
        </w:rPr>
      </w:pPr>
      <w:r>
        <w:rPr>
          <w:rFonts w:ascii="Times New Roman" w:cs="Times New Roman" w:eastAsia="Times New Roman" w:hAnsi="Times New Roman"/>
          <w:sz w:val="18"/>
          <w:szCs w:val="18"/>
          <w:color w:val="auto"/>
        </w:rPr>
        <w:t>(solely to the extent such security interest or lien was validly perfected, enforceable, and nonavoidable as of the Petition Date or validly perfected subsequent to the Petition Date to the extent permitted by section 546(b) of the Bankruptcy Code and were senior to the Prepetition Liens)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Intercompany Liens</w:t>
      </w:r>
    </w:p>
    <w:p>
      <w:pPr>
        <w:spacing w:after="0" w:line="200" w:lineRule="exact"/>
        <w:rPr>
          <w:sz w:val="20"/>
          <w:szCs w:val="20"/>
          <w:color w:val="auto"/>
        </w:rPr>
      </w:pPr>
    </w:p>
    <w:p>
      <w:pPr>
        <w:spacing w:after="0" w:line="2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Manager Advances (solely to the extent such security interest or lien was validly perfected, enforceable, and nonavoidable as of the Petition Date or validly perfected subsequent to the Petition Date to the extent permitted by section 546(b) of the Bankruptcy Code and were senior to the Prepetition Liens)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Intercompany Liens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FBG DIP Liens (with respect to FBG New Money DIP Loans)</w:t>
      </w:r>
    </w:p>
    <w:p>
      <w:pPr>
        <w:spacing w:after="0" w:line="20" w:lineRule="exact"/>
        <w:rPr>
          <w:sz w:val="20"/>
          <w:szCs w:val="20"/>
          <w:color w:val="auto"/>
        </w:rPr>
      </w:pPr>
      <w:r>
        <w:rPr>
          <w:sz w:val="20"/>
          <w:szCs w:val="20"/>
          <w:color w:val="auto"/>
        </w:rPr>
        <w:br w:type="column"/>
      </w: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Intercompany Liens</w:t>
      </w:r>
      <w:r>
        <w:rPr>
          <w:sz w:val="20"/>
          <w:szCs w:val="20"/>
          <w:color w:val="auto"/>
        </w:rPr>
        <w:tab/>
      </w:r>
      <w:r>
        <w:rPr>
          <w:rFonts w:ascii="Times New Roman" w:cs="Times New Roman" w:eastAsia="Times New Roman" w:hAnsi="Times New Roman"/>
          <w:sz w:val="17"/>
          <w:szCs w:val="17"/>
          <w:color w:val="auto"/>
        </w:rPr>
        <w:t>DIP Superpriority</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Claims</w:t>
      </w:r>
    </w:p>
    <w:p>
      <w:pPr>
        <w:spacing w:after="0" w:line="20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Twin DIP Liens (with</w:t>
      </w:r>
      <w:r>
        <w:rPr>
          <w:sz w:val="20"/>
          <w:szCs w:val="20"/>
          <w:color w:val="auto"/>
        </w:rPr>
        <w:tab/>
      </w:r>
      <w:r>
        <w:rPr>
          <w:rFonts w:ascii="Times New Roman" w:cs="Times New Roman" w:eastAsia="Times New Roman" w:hAnsi="Times New Roman"/>
          <w:sz w:val="17"/>
          <w:szCs w:val="17"/>
          <w:color w:val="auto"/>
        </w:rPr>
        <w:t>Adequate Protection</w:t>
      </w:r>
    </w:p>
    <w:p>
      <w:pPr>
        <w:spacing w:after="0" w:line="2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respect to Twin New</w:t>
      </w:r>
      <w:r>
        <w:rPr>
          <w:sz w:val="20"/>
          <w:szCs w:val="20"/>
          <w:color w:val="auto"/>
        </w:rPr>
        <w:tab/>
      </w:r>
      <w:r>
        <w:rPr>
          <w:rFonts w:ascii="Times New Roman" w:cs="Times New Roman" w:eastAsia="Times New Roman" w:hAnsi="Times New Roman"/>
          <w:sz w:val="17"/>
          <w:szCs w:val="17"/>
          <w:color w:val="auto"/>
        </w:rPr>
        <w:t>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DIP Loans)</w:t>
      </w:r>
    </w:p>
    <w:p>
      <w:pPr>
        <w:spacing w:after="0" w:line="2362" w:lineRule="exact"/>
        <w:rPr>
          <w:sz w:val="20"/>
          <w:szCs w:val="20"/>
          <w:color w:val="auto"/>
        </w:rPr>
      </w:pPr>
    </w:p>
    <w:p>
      <w:pPr>
        <w:sectPr>
          <w:pgSz w:w="11900" w:h="16838" w:orient="portrait"/>
          <w:cols w:equalWidth="0" w:num="4">
            <w:col w:w="3360" w:space="260"/>
            <w:col w:w="2000" w:space="260"/>
            <w:col w:w="1560" w:space="220"/>
            <w:col w:w="3580"/>
          </w:cols>
          <w:pgMar w:left="320" w:top="648" w:right="339" w:bottom="1440" w:gutter="0" w:footer="0" w:header="0"/>
          <w:type w:val="continuous"/>
        </w:sectPr>
      </w:pPr>
    </w:p>
    <w:p>
      <w:pPr>
        <w:spacing w:after="0"/>
        <w:tabs>
          <w:tab w:leader="none" w:pos="1360" w:val="left"/>
        </w:tabs>
        <w:rPr>
          <w:sz w:val="20"/>
          <w:szCs w:val="20"/>
          <w:color w:val="auto"/>
        </w:rPr>
      </w:pPr>
      <w:r>
        <w:rPr>
          <w:rFonts w:ascii="Times New Roman" w:cs="Times New Roman" w:eastAsia="Times New Roman" w:hAnsi="Times New Roman"/>
          <w:sz w:val="17"/>
          <w:szCs w:val="17"/>
          <w:b w:val="1"/>
          <w:bCs w:val="1"/>
          <w:i w:val="1"/>
          <w:iCs w:val="1"/>
          <w:color w:val="auto"/>
        </w:rPr>
        <w:t>Fifth</w:t>
      </w:r>
      <w:r>
        <w:rPr>
          <w:sz w:val="20"/>
          <w:szCs w:val="20"/>
          <w:color w:val="auto"/>
        </w:rPr>
        <w:tab/>
      </w:r>
      <w:r>
        <w:rPr>
          <w:rFonts w:ascii="Times New Roman" w:cs="Times New Roman" w:eastAsia="Times New Roman" w:hAnsi="Times New Roman"/>
          <w:sz w:val="17"/>
          <w:szCs w:val="17"/>
          <w:color w:val="auto"/>
        </w:rPr>
        <w:t>FBG DIP Liens (with</w:t>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respect to FBG New</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Money DIP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83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Times New Roman" w:cs="Times New Roman" w:eastAsia="Times New Roman" w:hAnsi="Times New Roman"/>
          <w:sz w:val="17"/>
          <w:szCs w:val="17"/>
          <w:color w:val="auto"/>
        </w:rPr>
        <w:t>Twin DIP Liens (with respect to Twin New Money DIP Loans)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FBG DIP Liens (with respect to FBG Rolled-Up DIP Loans)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Twin DIP Liens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Twin Rolled-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DIP Loans)</w:t>
      </w:r>
    </w:p>
    <w:p>
      <w:pPr>
        <w:spacing w:after="0" w:line="443" w:lineRule="exact"/>
        <w:rPr>
          <w:sz w:val="20"/>
          <w:szCs w:val="20"/>
          <w:color w:val="auto"/>
        </w:rPr>
      </w:pPr>
    </w:p>
    <w:p>
      <w:pPr>
        <w:sectPr>
          <w:pgSz w:w="11900" w:h="16838" w:orient="portrait"/>
          <w:cols w:equalWidth="0" w:num="4">
            <w:col w:w="2920" w:space="700"/>
            <w:col w:w="1580" w:space="680"/>
            <w:col w:w="1560" w:space="220"/>
            <w:col w:w="3580"/>
          </w:cols>
          <w:pgMar w:left="320" w:top="648" w:right="339" w:bottom="1440" w:gutter="0" w:footer="0" w:header="0"/>
          <w:type w:val="continuous"/>
        </w:sectPr>
      </w:pPr>
    </w:p>
    <w:p>
      <w:pPr>
        <w:spacing w:after="0" w:line="7" w:lineRule="exact"/>
        <w:rPr>
          <w:sz w:val="20"/>
          <w:szCs w:val="20"/>
          <w:color w:val="auto"/>
        </w:rPr>
      </w:pPr>
    </w:p>
    <w:p>
      <w:pPr>
        <w:jc w:val="both"/>
        <w:ind w:left="340" w:hanging="332"/>
        <w:spacing w:after="0" w:line="210" w:lineRule="auto"/>
        <w:tabs>
          <w:tab w:leader="none" w:pos="34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Rolled-Up DIP Loans and Adequate Protection Liens will only have recourse to the entities and collateral available under the applicable Prepetition Documents. For the avoidance of doubt, there shall be no FBG Rolled-Up DIP Loans or Twin Rolled-Up DIP Loans incurred or deemed incurred by the Managers.</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Intercompany Claims, DIP Superpriority Claims, and Adequate Protection Claims listed in the “Administrative Priority Claims” column shall only have recourse against the Debtors and assets specified in the Final Order. For the avoidance of doubt, the Proposed Final Order does not provide for cross collateralization of the Prepetition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66" w:name="page67"/>
    <w:bookmarkEnd w:id="66"/>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FBG DIP</w:t>
            </w:r>
          </w:p>
        </w:tc>
      </w:tr>
      <w:tr>
        <w:trPr>
          <w:trHeight w:val="238"/>
        </w:trPr>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240" w:type="dxa"/>
            <w:vAlign w:val="bottom"/>
          </w:tcPr>
          <w:p>
            <w:pPr>
              <w:spacing w:after="0"/>
              <w:rPr>
                <w:sz w:val="20"/>
                <w:szCs w:val="20"/>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Collateral</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Sixth</w:t>
            </w:r>
          </w:p>
        </w:tc>
        <w:tc>
          <w:tcPr>
            <w:tcW w:w="240" w:type="dxa"/>
            <w:vAlign w:val="bottom"/>
          </w:tcPr>
          <w:p>
            <w:pPr>
              <w:spacing w:after="0"/>
              <w:rPr>
                <w:sz w:val="16"/>
                <w:szCs w:val="16"/>
                <w:color w:val="auto"/>
              </w:rPr>
            </w:pP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FBG DIP Liens (with</w:t>
            </w:r>
          </w:p>
        </w:tc>
      </w:tr>
      <w:tr>
        <w:trPr>
          <w:trHeight w:val="216"/>
        </w:trPr>
        <w:tc>
          <w:tcPr>
            <w:tcW w:w="114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respect to FBG Rolled-Up</w:t>
            </w:r>
          </w:p>
        </w:tc>
      </w:tr>
      <w:tr>
        <w:trPr>
          <w:trHeight w:val="234"/>
        </w:trPr>
        <w:tc>
          <w:tcPr>
            <w:tcW w:w="114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DIP Loans)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FBG</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0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Twin DIP</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Unencumbered</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Twin Unencumbered</w:t>
            </w:r>
          </w:p>
        </w:tc>
      </w:tr>
      <w:tr>
        <w:trPr>
          <w:trHeight w:val="238"/>
        </w:trPr>
        <w:tc>
          <w:tcPr>
            <w:tcW w:w="2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Property</w:t>
            </w:r>
          </w:p>
        </w:tc>
      </w:tr>
      <w:tr>
        <w:trPr>
          <w:trHeight w:val="191"/>
        </w:trPr>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Twin DIP Liens (with</w:t>
            </w:r>
          </w:p>
        </w:tc>
        <w:tc>
          <w:tcPr>
            <w:tcW w:w="220" w:type="dxa"/>
            <w:vAlign w:val="bottom"/>
          </w:tcPr>
          <w:p>
            <w:pPr>
              <w:spacing w:after="0"/>
              <w:rPr>
                <w:sz w:val="16"/>
                <w:szCs w:val="16"/>
                <w:color w:val="auto"/>
              </w:rPr>
            </w:pPr>
          </w:p>
        </w:tc>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FBG Adequate</w:t>
            </w:r>
          </w:p>
        </w:tc>
        <w:tc>
          <w:tcPr>
            <w:tcW w:w="220" w:type="dxa"/>
            <w:vAlign w:val="bottom"/>
          </w:tcPr>
          <w:p>
            <w:pPr>
              <w:spacing w:after="0"/>
              <w:rPr>
                <w:sz w:val="16"/>
                <w:szCs w:val="16"/>
                <w:color w:val="auto"/>
              </w:rPr>
            </w:pPr>
          </w:p>
        </w:tc>
        <w:tc>
          <w:tcPr>
            <w:tcW w:w="1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Twin Adequate</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respect to Twin Senior</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Protection Liens</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Protection Liens (with</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Rolled-Up DIP Loans)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 to Twin</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Prepetition Obligations</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 account of Class A-</w:t>
            </w:r>
          </w:p>
        </w:tc>
      </w:t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2-I notes)</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line="314" w:lineRule="auto"/>
        <w:rPr>
          <w:sz w:val="20"/>
          <w:szCs w:val="20"/>
          <w:color w:val="auto"/>
        </w:rPr>
      </w:pPr>
      <w:r>
        <w:rPr>
          <w:rFonts w:ascii="Times New Roman" w:cs="Times New Roman" w:eastAsia="Times New Roman" w:hAnsi="Times New Roman"/>
          <w:sz w:val="17"/>
          <w:szCs w:val="17"/>
          <w:b w:val="1"/>
          <w:bCs w:val="1"/>
          <w:color w:val="auto"/>
        </w:rPr>
        <w:t>Administrative Priority Claims</w:t>
      </w:r>
      <w:r>
        <w:rPr>
          <w:rFonts w:ascii="Times New Roman" w:cs="Times New Roman" w:eastAsia="Times New Roman" w:hAnsi="Times New Roman"/>
          <w:sz w:val="28"/>
          <w:szCs w:val="28"/>
          <w:b w:val="1"/>
          <w:bCs w:val="1"/>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-114935</wp:posOffset>
            </wp:positionV>
            <wp:extent cx="9944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321" w:lineRule="exact"/>
        <w:rPr>
          <w:sz w:val="20"/>
          <w:szCs w:val="20"/>
          <w:color w:val="auto"/>
        </w:rPr>
      </w:pPr>
    </w:p>
    <w:p>
      <w:pPr>
        <w:sectPr>
          <w:pgSz w:w="11900" w:h="16838" w:orient="portrait"/>
          <w:cols w:equalWidth="0" w:num="3">
            <w:col w:w="3400" w:space="220"/>
            <w:col w:w="5840" w:space="320"/>
            <w:col w:w="1340"/>
          </w:cols>
          <w:pgMar w:left="320" w:top="657" w:right="459" w:bottom="1440" w:gutter="0" w:footer="0" w:header="0"/>
        </w:sectPr>
      </w:pPr>
    </w:p>
    <w:p>
      <w:pPr>
        <w:spacing w:after="0"/>
        <w:tabs>
          <w:tab w:leader="none" w:pos="1360" w:val="left"/>
        </w:tabs>
        <w:rPr>
          <w:sz w:val="20"/>
          <w:szCs w:val="20"/>
          <w:color w:val="auto"/>
        </w:rPr>
      </w:pPr>
      <w:r>
        <w:rPr>
          <w:rFonts w:ascii="Times New Roman" w:cs="Times New Roman" w:eastAsia="Times New Roman" w:hAnsi="Times New Roman"/>
          <w:sz w:val="17"/>
          <w:szCs w:val="17"/>
          <w:b w:val="1"/>
          <w:bCs w:val="1"/>
          <w:i w:val="1"/>
          <w:iCs w:val="1"/>
          <w:color w:val="auto"/>
        </w:rPr>
        <w:t>Seventh</w:t>
      </w:r>
      <w:r>
        <w:rPr>
          <w:sz w:val="20"/>
          <w:szCs w:val="20"/>
          <w:color w:val="auto"/>
        </w:rPr>
        <w:tab/>
      </w:r>
      <w:r>
        <w:rPr>
          <w:rFonts w:ascii="Times New Roman" w:cs="Times New Roman" w:eastAsia="Times New Roman" w:hAnsi="Times New Roman"/>
          <w:sz w:val="17"/>
          <w:szCs w:val="17"/>
          <w:color w:val="auto"/>
        </w:rPr>
        <w:t>FBG Adequate Protection</w:t>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Liens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Twin Adequate Protection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 (with respect to Twin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Prepetition Obligations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Class A-2-I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Twin DIP Liens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Twin Junior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Rolled-Up Loans)</w:t>
      </w:r>
    </w:p>
    <w:p>
      <w:pPr>
        <w:spacing w:after="0" w:line="631" w:lineRule="exact"/>
        <w:rPr>
          <w:sz w:val="20"/>
          <w:szCs w:val="20"/>
          <w:color w:val="auto"/>
        </w:rPr>
      </w:pPr>
    </w:p>
    <w:p>
      <w:pPr>
        <w:sectPr>
          <w:pgSz w:w="11900" w:h="16838" w:orient="portrait"/>
          <w:cols w:equalWidth="0" w:num="3">
            <w:col w:w="3240" w:space="380"/>
            <w:col w:w="3320" w:space="720"/>
            <w:col w:w="3460"/>
          </w:cols>
          <w:pgMar w:left="320" w:top="657" w:right="459" w:bottom="1440" w:gutter="0" w:footer="0" w:header="0"/>
          <w:type w:val="continuous"/>
        </w:sectPr>
      </w:pPr>
    </w:p>
    <w:p>
      <w:pPr>
        <w:spacing w:after="0" w:line="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b w:val="1"/>
          <w:bCs w:val="1"/>
          <w:i w:val="1"/>
          <w:iCs w:val="1"/>
          <w:color w:val="auto"/>
        </w:rPr>
        <w:t>Eighth</w:t>
      </w:r>
      <w:r>
        <w:rPr>
          <w:sz w:val="20"/>
          <w:szCs w:val="20"/>
          <w:color w:val="auto"/>
        </w:rPr>
        <w:tab/>
      </w:r>
      <w:r>
        <w:rPr>
          <w:rFonts w:ascii="Times New Roman" w:cs="Times New Roman" w:eastAsia="Times New Roman" w:hAnsi="Times New Roman"/>
          <w:sz w:val="17"/>
          <w:szCs w:val="17"/>
          <w:color w:val="auto"/>
        </w:rPr>
        <w:t>FBG Prepetition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Eleventh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Twin Prepetition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Prepetition Obligations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Class A-2-I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DIP Liens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Twin Junior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Rolled-Up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Adequate Protection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(with respect to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Prepetition Obligations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Class A-2-II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Prepetition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Prepetition Obligations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Class A-2-II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Twin Adequate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 Liens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Prepetition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account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2-II notes)</w:t>
      </w:r>
    </w:p>
    <w:p>
      <w:pPr>
        <w:sectPr>
          <w:pgSz w:w="11900" w:h="16838" w:orient="portrait"/>
          <w:cols w:equalWidth="0" w:num="3">
            <w:col w:w="3000" w:space="620"/>
            <w:col w:w="3320" w:space="720"/>
            <w:col w:w="3460"/>
          </w:cols>
          <w:pgMar w:left="320" w:top="657" w:right="459" w:bottom="144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March 25,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FAT BRANDS ROYALTY I, LLC, FAT BRANDS FAZOLI’S NATIVE I, LLC, FAT BRANDS GFG ROYALTY I, LLC, each a Debtor and debtor-in-possession under Chapter 11 of the Bankruptcy Code, as FBG DIP Borrowers,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I, LLC, a Debtor and debtor-in-possession under Chapter 11 of the Bankruptcy Code, as Twin DIP Borrower,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FAT BRANDS, INC., a Debtor and debtor-in-possession under Chapter 11 of the Bankruptcy Code, as Parent,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GROUP INC., a Debtor and debtor-in-possession under Chapter 11 of the Bankruptcy Code, as Twin Manager,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DIP LENDERS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UMB BANK,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DIP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TABLE OF CONTENTS</w:t>
            </w: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 The Commitment and Credit Extension</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 Representations and Warranties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 Conditions Precedent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 Covenants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 Events of Default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 Credit Bidding</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Miscellaneous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 The DIP Agent</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 Collateral Matters</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 Remedies with Respect to Collateral</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1 – Commitments</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1A – Permitted Debt</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1B – Permitted Investments</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4(a) – Stipulated Allocation</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5(c) – Post-Closing Matters</w:t>
            </w:r>
          </w:p>
        </w:tc>
        <w:tc>
          <w:tcPr>
            <w:tcW w:w="6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 xml:space="preserve"> –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Interim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 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Form of FBG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 Form of Twin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 Form of Assignment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u w:val="single" w:color="auto"/>
          <w:color w:val="auto"/>
        </w:rPr>
        <w:t>DEBTOR-IN-POSSESSION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DEBTOR-IN-POSSESSION CREDIT AGREEMENT (as amended, restated, amended and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March 25, 2026, among </w:t>
      </w:r>
      <w:r>
        <w:rPr>
          <w:rFonts w:ascii="Times New Roman" w:cs="Times New Roman" w:eastAsia="Times New Roman" w:hAnsi="Times New Roman"/>
          <w:sz w:val="18"/>
          <w:szCs w:val="18"/>
          <w:b w:val="1"/>
          <w:bCs w:val="1"/>
          <w:color w:val="auto"/>
        </w:rPr>
        <w:t>FAT BRANDS ROYALTY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FAT BRANDS FAZOLI’S NATIVE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Fazoli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FAT BRANDS GFG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ROYALTY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GFG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FB Royalty and FB Fazoli, each a “</w:t>
      </w:r>
      <w:r>
        <w:rPr>
          <w:rFonts w:ascii="Times New Roman" w:cs="Times New Roman" w:eastAsia="Times New Roman" w:hAnsi="Times New Roman"/>
          <w:sz w:val="18"/>
          <w:szCs w:val="18"/>
          <w:u w:val="single" w:color="auto"/>
          <w:color w:val="auto"/>
        </w:rPr>
        <w:t>FBG DIP 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FBG DIP 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TWIN HOSPITALITY I, LLC</w:t>
      </w:r>
      <w:r>
        <w:rPr>
          <w:rFonts w:ascii="Times New Roman" w:cs="Times New Roman" w:eastAsia="Times New Roman" w:hAnsi="Times New Roman"/>
          <w:sz w:val="18"/>
          <w:szCs w:val="18"/>
          <w:color w:val="auto"/>
        </w:rPr>
        <w:t>, a Delaware limited liability company and a debtor and debtor-in-possession under Chapter 11 of the Bankruptcy Code (the “</w:t>
      </w:r>
      <w:r>
        <w:rPr>
          <w:rFonts w:ascii="Times New Roman" w:cs="Times New Roman" w:eastAsia="Times New Roman" w:hAnsi="Times New Roman"/>
          <w:sz w:val="18"/>
          <w:szCs w:val="18"/>
          <w:u w:val="single" w:color="auto"/>
          <w:color w:val="auto"/>
        </w:rPr>
        <w:t>Twin DIP Borrower</w:t>
      </w:r>
      <w:r>
        <w:rPr>
          <w:rFonts w:ascii="Times New Roman" w:cs="Times New Roman" w:eastAsia="Times New Roman" w:hAnsi="Times New Roman"/>
          <w:sz w:val="18"/>
          <w:szCs w:val="18"/>
          <w:color w:val="auto"/>
        </w:rPr>
        <w:t>”, and together with the FBG DIP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FAT BRANDS, INC.</w:t>
      </w:r>
      <w:r>
        <w:rPr>
          <w:rFonts w:ascii="Times New Roman" w:cs="Times New Roman" w:eastAsia="Times New Roman" w:hAnsi="Times New Roman"/>
          <w:sz w:val="18"/>
          <w:szCs w:val="18"/>
          <w:color w:val="auto"/>
        </w:rPr>
        <w:t>, a Delaware corporation and a debtor and debtor-in-possession under Chapter 11 of the Bankruptcy Code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TWIN HOSPITALITY GROUP INC.</w:t>
      </w:r>
      <w:r>
        <w:rPr>
          <w:rFonts w:ascii="Times New Roman" w:cs="Times New Roman" w:eastAsia="Times New Roman" w:hAnsi="Times New Roman"/>
          <w:sz w:val="18"/>
          <w:szCs w:val="18"/>
          <w:color w:val="auto"/>
        </w:rPr>
        <w:t>, a Delaware Corporation and a debtor and debtor-in-possession under Chapter 11 of the Bankruptcy Code (the “</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xml:space="preserve">”), the DIP Lenders (as defined below) party hereto from time to time and </w:t>
      </w:r>
      <w:r>
        <w:rPr>
          <w:rFonts w:ascii="Times New Roman" w:cs="Times New Roman" w:eastAsia="Times New Roman" w:hAnsi="Times New Roman"/>
          <w:sz w:val="18"/>
          <w:szCs w:val="18"/>
          <w:b w:val="1"/>
          <w:bCs w:val="1"/>
          <w:color w:val="auto"/>
        </w:rPr>
        <w:t>UMB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as administrative agent and as collateral agent (in such capacities, and as further defined in Section 1,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the Parent and its direct and indirect subsidiaries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filed voluntary proceedings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under chapter 11 of title 11 of the United States Code entitled “Bankruptcy” (as amended,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and such Debtors continue to operate their businesses and manage their properties as debtors-in-possession pursuant to sections 1107 and 1108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WHEREAS, prior to the Petition Date, (a) FB Royalty is party to that certain Base Indenture, dated as of March 6, 2020, as amended and restated as of April 26, 2021, and as supplemented by the Series 2021-1 Supplement and Series 2022-1 Supplement thereto, dated as of April 26, 2021 and July 6, 2022, respectively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FB Royalty and UMB Bank, N.A. as trustee (in such capacity under the Royalty Indenture, the “</w:t>
      </w:r>
      <w:r>
        <w:rPr>
          <w:rFonts w:ascii="Times New Roman" w:cs="Times New Roman" w:eastAsia="Times New Roman" w:hAnsi="Times New Roman"/>
          <w:sz w:val="18"/>
          <w:szCs w:val="18"/>
          <w:u w:val="single" w:color="auto"/>
          <w:color w:val="auto"/>
        </w:rPr>
        <w:t>Royalty Trustee</w:t>
      </w:r>
      <w:r>
        <w:rPr>
          <w:rFonts w:ascii="Times New Roman" w:cs="Times New Roman" w:eastAsia="Times New Roman" w:hAnsi="Times New Roman"/>
          <w:sz w:val="18"/>
          <w:szCs w:val="18"/>
          <w:color w:val="auto"/>
        </w:rPr>
        <w:t>”) and securities intermediary, pursuant to which FB Royalty on April 26, 2021, issued, among other things, (i) $97,104,000 in aggregate principal amount of Series 2021-1 Class A-2 senior secured notes (the “</w:t>
      </w:r>
      <w:r>
        <w:rPr>
          <w:rFonts w:ascii="Times New Roman" w:cs="Times New Roman" w:eastAsia="Times New Roman" w:hAnsi="Times New Roman"/>
          <w:sz w:val="18"/>
          <w:szCs w:val="18"/>
          <w:u w:val="single" w:color="auto"/>
          <w:color w:val="auto"/>
        </w:rPr>
        <w:t>Royalty Series 2021-1 Class A-2 Notes</w:t>
      </w:r>
      <w:r>
        <w:rPr>
          <w:rFonts w:ascii="Times New Roman" w:cs="Times New Roman" w:eastAsia="Times New Roman" w:hAnsi="Times New Roman"/>
          <w:sz w:val="18"/>
          <w:szCs w:val="18"/>
          <w:color w:val="auto"/>
        </w:rPr>
        <w:t>”) with an interest rate of 4.75% and a maturity date of April 25, 2051 and (ii) $32,368,000 in aggregate principal amount of Series 2021-1 Class B-2 senior subordinated notes with an interest rate of 8.00% and a maturity date of April 25, 2051, and, on July 6, 2022, issued, among other things, (i) $42,696,000 in aggregate principal amount of Series 2022-1 Class A-2 senior secured notes (the “</w:t>
      </w:r>
      <w:r>
        <w:rPr>
          <w:rFonts w:ascii="Times New Roman" w:cs="Times New Roman" w:eastAsia="Times New Roman" w:hAnsi="Times New Roman"/>
          <w:sz w:val="18"/>
          <w:szCs w:val="18"/>
          <w:u w:val="single" w:color="auto"/>
          <w:color w:val="auto"/>
        </w:rPr>
        <w:t>Royalty Series 2022-1 Class A-2 Notes</w:t>
      </w:r>
      <w:r>
        <w:rPr>
          <w:rFonts w:ascii="Times New Roman" w:cs="Times New Roman" w:eastAsia="Times New Roman" w:hAnsi="Times New Roman"/>
          <w:sz w:val="18"/>
          <w:szCs w:val="18"/>
          <w:color w:val="auto"/>
        </w:rPr>
        <w:t>”; and together with the Royalty Series 2021-1 Class A-2 Notes, the “</w:t>
      </w:r>
      <w:r>
        <w:rPr>
          <w:rFonts w:ascii="Times New Roman" w:cs="Times New Roman" w:eastAsia="Times New Roman" w:hAnsi="Times New Roman"/>
          <w:sz w:val="18"/>
          <w:szCs w:val="18"/>
          <w:u w:val="single" w:color="auto"/>
          <w:color w:val="auto"/>
        </w:rPr>
        <w:t>Royalty Class A-2 Notes</w:t>
      </w:r>
      <w:r>
        <w:rPr>
          <w:rFonts w:ascii="Times New Roman" w:cs="Times New Roman" w:eastAsia="Times New Roman" w:hAnsi="Times New Roman"/>
          <w:sz w:val="18"/>
          <w:szCs w:val="18"/>
          <w:color w:val="auto"/>
        </w:rPr>
        <w:t>”) with an interest rate of 4.75% and a maturity date of April 25, 2051 and (ii) $14,232,000 in aggregate principal amount of Class B-2 senior subordinated notes with an interest rate of 8.00% and a maturity date of April 25, 2051 (collectively, the “</w:t>
      </w:r>
      <w:r>
        <w:rPr>
          <w:rFonts w:ascii="Times New Roman" w:cs="Times New Roman" w:eastAsia="Times New Roman" w:hAnsi="Times New Roman"/>
          <w:sz w:val="18"/>
          <w:szCs w:val="18"/>
          <w:u w:val="single" w:color="auto"/>
          <w:color w:val="auto"/>
        </w:rPr>
        <w:t>Royalty Prepetition Notes</w:t>
      </w:r>
      <w:r>
        <w:rPr>
          <w:rFonts w:ascii="Times New Roman" w:cs="Times New Roman" w:eastAsia="Times New Roman" w:hAnsi="Times New Roman"/>
          <w:sz w:val="18"/>
          <w:szCs w:val="18"/>
          <w:color w:val="auto"/>
        </w:rPr>
        <w:t>”); (b) FB GFG is party to that certain Base Indenture dated as of July 22, 2021, as supplemented by the Series 2021-1 Supplement and 2022-1 Supplement thereto, dated as of July 22, 2021 and December 15, 2022, respectively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GFG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FB GFG and UMB Bank, N.A. as trustee (in such capacity under the GFG Indenture, the “</w:t>
      </w:r>
      <w:r>
        <w:rPr>
          <w:rFonts w:ascii="Times New Roman" w:cs="Times New Roman" w:eastAsia="Times New Roman" w:hAnsi="Times New Roman"/>
          <w:sz w:val="18"/>
          <w:szCs w:val="18"/>
          <w:u w:val="single" w:color="auto"/>
          <w:color w:val="auto"/>
        </w:rPr>
        <w:t>GFG Trustee</w:t>
      </w:r>
      <w:r>
        <w:rPr>
          <w:rFonts w:ascii="Times New Roman" w:cs="Times New Roman" w:eastAsia="Times New Roman" w:hAnsi="Times New Roman"/>
          <w:sz w:val="18"/>
          <w:szCs w:val="18"/>
          <w:color w:val="auto"/>
        </w:rPr>
        <w:t>”) and securities intermediary, pursuant to which FB GFG on July 22, 2021, issued, among other things, (i) $209,000,000 in aggregate principal amount of Series 2021-1 Class A-2 senior secured notes (the “</w:t>
      </w:r>
      <w:r>
        <w:rPr>
          <w:rFonts w:ascii="Times New Roman" w:cs="Times New Roman" w:eastAsia="Times New Roman" w:hAnsi="Times New Roman"/>
          <w:sz w:val="18"/>
          <w:szCs w:val="18"/>
          <w:u w:val="single" w:color="auto"/>
          <w:color w:val="auto"/>
        </w:rPr>
        <w:t>GFG Series 2021-1 Class A-2 Notes</w:t>
      </w:r>
      <w:r>
        <w:rPr>
          <w:rFonts w:ascii="Times New Roman" w:cs="Times New Roman" w:eastAsia="Times New Roman" w:hAnsi="Times New Roman"/>
          <w:sz w:val="18"/>
          <w:szCs w:val="18"/>
          <w:color w:val="auto"/>
        </w:rPr>
        <w:t>”) with an interest rate of 6.00% and a maturity date of July 25, 2051 and (ii) $84,000,000 in aggregate principal amount of Series 2021-1 Class B-2 senior subordinated notes with an interest rate of 7.00% and a maturity date of July 25, 2051, and, on December 15, 2022, issued (i) $67,756,000 in aggregate principal amount of Series 2022-1 Class A-2 senior secured notes (the “</w:t>
      </w:r>
      <w:r>
        <w:rPr>
          <w:rFonts w:ascii="Times New Roman" w:cs="Times New Roman" w:eastAsia="Times New Roman" w:hAnsi="Times New Roman"/>
          <w:sz w:val="18"/>
          <w:szCs w:val="18"/>
          <w:u w:val="single" w:color="auto"/>
          <w:color w:val="auto"/>
        </w:rPr>
        <w:t>GFG Series 2022-1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A-2 Notes</w:t>
      </w:r>
      <w:r>
        <w:rPr>
          <w:rFonts w:ascii="Times New Roman" w:cs="Times New Roman" w:eastAsia="Times New Roman" w:hAnsi="Times New Roman"/>
          <w:sz w:val="18"/>
          <w:szCs w:val="18"/>
          <w:color w:val="auto"/>
        </w:rPr>
        <w:t>”; and together with the GFG Series 2021-1 Class A-2 Notes, the “</w:t>
      </w:r>
      <w:r>
        <w:rPr>
          <w:rFonts w:ascii="Times New Roman" w:cs="Times New Roman" w:eastAsia="Times New Roman" w:hAnsi="Times New Roman"/>
          <w:sz w:val="18"/>
          <w:szCs w:val="18"/>
          <w:u w:val="single" w:color="auto"/>
          <w:color w:val="auto"/>
        </w:rPr>
        <w:t>GFG Class A-2 Notes</w:t>
      </w:r>
      <w:r>
        <w:rPr>
          <w:rFonts w:ascii="Times New Roman" w:cs="Times New Roman" w:eastAsia="Times New Roman" w:hAnsi="Times New Roman"/>
          <w:sz w:val="18"/>
          <w:szCs w:val="18"/>
          <w:color w:val="auto"/>
        </w:rPr>
        <w:t>”) with an interest rate of 6.00% and a maturity date of July 25, 2051 and (ii) $20,261,000 in aggregate principal amount of Class B-2 senior subordinated notes with an interest rate of 7.00% and a maturity date of July 25, 2051 (the “</w:t>
      </w:r>
      <w:r>
        <w:rPr>
          <w:rFonts w:ascii="Times New Roman" w:cs="Times New Roman" w:eastAsia="Times New Roman" w:hAnsi="Times New Roman"/>
          <w:sz w:val="18"/>
          <w:szCs w:val="18"/>
          <w:u w:val="single" w:color="auto"/>
          <w:color w:val="auto"/>
        </w:rPr>
        <w:t>GFG Prepetition Notes</w:t>
      </w:r>
      <w:r>
        <w:rPr>
          <w:rFonts w:ascii="Times New Roman" w:cs="Times New Roman" w:eastAsia="Times New Roman" w:hAnsi="Times New Roman"/>
          <w:sz w:val="18"/>
          <w:szCs w:val="18"/>
          <w:color w:val="auto"/>
        </w:rPr>
        <w:t>”); and (c) FB Fazoli is party to that certain Base Indenture, dated as of December 15, 2021, as amended by Omnibus Amendment No. 1, dated as of March 28, 2025, and as supplemented by the Series 2021-1 Supplement thereto, dated as of December 15, 2021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Fazoli Indenture</w:t>
      </w:r>
      <w:r>
        <w:rPr>
          <w:rFonts w:ascii="Times New Roman" w:cs="Times New Roman" w:eastAsia="Times New Roman" w:hAnsi="Times New Roman"/>
          <w:sz w:val="18"/>
          <w:szCs w:val="18"/>
          <w:color w:val="auto"/>
        </w:rPr>
        <w:t>”; and, collectively with the Royalty Indenture and GFG Indenture, the “</w:t>
      </w:r>
      <w:r>
        <w:rPr>
          <w:rFonts w:ascii="Times New Roman" w:cs="Times New Roman" w:eastAsia="Times New Roman" w:hAnsi="Times New Roman"/>
          <w:sz w:val="18"/>
          <w:szCs w:val="18"/>
          <w:u w:val="single" w:color="auto"/>
          <w:color w:val="auto"/>
        </w:rPr>
        <w:t>FBG Prepetition Indentures</w:t>
      </w:r>
      <w:r>
        <w:rPr>
          <w:rFonts w:ascii="Times New Roman" w:cs="Times New Roman" w:eastAsia="Times New Roman" w:hAnsi="Times New Roman"/>
          <w:sz w:val="18"/>
          <w:szCs w:val="18"/>
          <w:color w:val="auto"/>
        </w:rPr>
        <w:t>”), among FB Fazoli and UMB Bank, N.A. as trustee (in such capacity under the Fazoli Indenture, the “</w:t>
      </w:r>
      <w:r>
        <w:rPr>
          <w:rFonts w:ascii="Times New Roman" w:cs="Times New Roman" w:eastAsia="Times New Roman" w:hAnsi="Times New Roman"/>
          <w:sz w:val="18"/>
          <w:szCs w:val="18"/>
          <w:u w:val="single" w:color="auto"/>
          <w:color w:val="auto"/>
        </w:rPr>
        <w:t>Fazoli Trustee</w:t>
      </w:r>
      <w:r>
        <w:rPr>
          <w:rFonts w:ascii="Times New Roman" w:cs="Times New Roman" w:eastAsia="Times New Roman" w:hAnsi="Times New Roman"/>
          <w:sz w:val="18"/>
          <w:szCs w:val="18"/>
          <w:color w:val="auto"/>
        </w:rPr>
        <w:t>”; together with the Royalty Trustee and the GFG Trustee, the “</w:t>
      </w:r>
      <w:r>
        <w:rPr>
          <w:rFonts w:ascii="Times New Roman" w:cs="Times New Roman" w:eastAsia="Times New Roman" w:hAnsi="Times New Roman"/>
          <w:sz w:val="18"/>
          <w:szCs w:val="18"/>
          <w:u w:val="single" w:color="auto"/>
          <w:color w:val="auto"/>
        </w:rPr>
        <w:t>FBG Prepetition Notes Trustee</w:t>
      </w:r>
      <w:r>
        <w:rPr>
          <w:rFonts w:ascii="Times New Roman" w:cs="Times New Roman" w:eastAsia="Times New Roman" w:hAnsi="Times New Roman"/>
          <w:sz w:val="18"/>
          <w:szCs w:val="18"/>
          <w:color w:val="auto"/>
        </w:rPr>
        <w:t>”) and securities intermediary, pursuant to which FB Fazoli issued, among other things, $128,760,000 in aggregate principal amount of Series 2021-1 Class A-2 senior secured notes with an interest rate of 6.00% and a maturity date of July 25, 2051 (the “</w:t>
      </w:r>
      <w:r>
        <w:rPr>
          <w:rFonts w:ascii="Times New Roman" w:cs="Times New Roman" w:eastAsia="Times New Roman" w:hAnsi="Times New Roman"/>
          <w:sz w:val="18"/>
          <w:szCs w:val="18"/>
          <w:u w:val="single" w:color="auto"/>
          <w:color w:val="auto"/>
        </w:rPr>
        <w:t>Fazoli Prepetition Notes</w:t>
      </w:r>
      <w:r>
        <w:rPr>
          <w:rFonts w:ascii="Times New Roman" w:cs="Times New Roman" w:eastAsia="Times New Roman" w:hAnsi="Times New Roman"/>
          <w:sz w:val="18"/>
          <w:szCs w:val="18"/>
          <w:color w:val="auto"/>
        </w:rPr>
        <w:t>”; together with the Royalty Prepetition Notes and the GFG Prepetition Notes, the “</w:t>
      </w:r>
      <w:r>
        <w:rPr>
          <w:rFonts w:ascii="Times New Roman" w:cs="Times New Roman" w:eastAsia="Times New Roman" w:hAnsi="Times New Roman"/>
          <w:sz w:val="18"/>
          <w:szCs w:val="18"/>
          <w:u w:val="single" w:color="auto"/>
          <w:color w:val="auto"/>
        </w:rPr>
        <w:t>FBG Prepetition Notes</w:t>
      </w:r>
      <w:r>
        <w:rPr>
          <w:rFonts w:ascii="Times New Roman" w:cs="Times New Roman" w:eastAsia="Times New Roman" w:hAnsi="Times New Roman"/>
          <w:sz w:val="18"/>
          <w:szCs w:val="18"/>
          <w:color w:val="auto"/>
        </w:rPr>
        <w:t>”). The FBG Prepetition Indentures and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applicable FBG Prepetition Indenture), shall collectively be referred to as the “</w:t>
      </w:r>
      <w:r>
        <w:rPr>
          <w:rFonts w:ascii="Times New Roman" w:cs="Times New Roman" w:eastAsia="Times New Roman" w:hAnsi="Times New Roman"/>
          <w:sz w:val="18"/>
          <w:szCs w:val="18"/>
          <w:u w:val="single" w:color="auto"/>
          <w:color w:val="auto"/>
        </w:rPr>
        <w:t>FBG Prepetition Notes Documents</w:t>
      </w:r>
      <w:r>
        <w:rPr>
          <w:rFonts w:ascii="Times New Roman" w:cs="Times New Roman" w:eastAsia="Times New Roman" w:hAnsi="Times New Roman"/>
          <w:sz w:val="18"/>
          <w:szCs w:val="18"/>
          <w:color w:val="auto"/>
        </w:rPr>
        <w:t>”, and all obligations of every nature under the FBG Prepetition Indentures, the “</w:t>
      </w:r>
      <w:r>
        <w:rPr>
          <w:rFonts w:ascii="Times New Roman" w:cs="Times New Roman" w:eastAsia="Times New Roman" w:hAnsi="Times New Roman"/>
          <w:sz w:val="18"/>
          <w:szCs w:val="18"/>
          <w:u w:val="single" w:color="auto"/>
          <w:color w:val="auto"/>
        </w:rPr>
        <w:t>FBG Prepetition Secured Obligations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WHEREAS, prior to the Petition Date, the Twin DIP Borrower is party to that certain Base Indenture dated as of November 21, 2024, as supplemented by the Series 2024-1 Supplement thereto, dated as of November 21, 2024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Twin Prepetition Indenture</w:t>
      </w:r>
      <w:r>
        <w:rPr>
          <w:rFonts w:ascii="Times New Roman" w:cs="Times New Roman" w:eastAsia="Times New Roman" w:hAnsi="Times New Roman"/>
          <w:sz w:val="18"/>
          <w:szCs w:val="18"/>
          <w:color w:val="auto"/>
        </w:rPr>
        <w:t>”), among the Twin DIP Borrower and UMB Bank, N.A. as trustee (in such capacity under the Twin Prepetition Indenture, the “</w:t>
      </w:r>
      <w:r>
        <w:rPr>
          <w:rFonts w:ascii="Times New Roman" w:cs="Times New Roman" w:eastAsia="Times New Roman" w:hAnsi="Times New Roman"/>
          <w:sz w:val="18"/>
          <w:szCs w:val="18"/>
          <w:u w:val="single" w:color="auto"/>
          <w:color w:val="auto"/>
        </w:rPr>
        <w:t>Twin Prepetition Notes Trustee</w:t>
      </w:r>
      <w:r>
        <w:rPr>
          <w:rFonts w:ascii="Times New Roman" w:cs="Times New Roman" w:eastAsia="Times New Roman" w:hAnsi="Times New Roman"/>
          <w:sz w:val="18"/>
          <w:szCs w:val="18"/>
          <w:color w:val="auto"/>
        </w:rPr>
        <w:t>”) and securities intermediary, pursuant to which the Twin DIP Borrower on November 21, 2024, issued, among other things, $12,124,000 in aggregate principal amount of Series 2024-1 Class A-2-I super senior secured notes (the “</w:t>
      </w:r>
      <w:r>
        <w:rPr>
          <w:rFonts w:ascii="Times New Roman" w:cs="Times New Roman" w:eastAsia="Times New Roman" w:hAnsi="Times New Roman"/>
          <w:sz w:val="18"/>
          <w:szCs w:val="18"/>
          <w:u w:val="single" w:color="auto"/>
          <w:color w:val="auto"/>
        </w:rPr>
        <w:t>Twin Class A-2-I Notes</w:t>
      </w:r>
      <w:r>
        <w:rPr>
          <w:rFonts w:ascii="Times New Roman" w:cs="Times New Roman" w:eastAsia="Times New Roman" w:hAnsi="Times New Roman"/>
          <w:sz w:val="18"/>
          <w:szCs w:val="18"/>
          <w:color w:val="auto"/>
        </w:rPr>
        <w:t>”) and $269,257,000 in aggregate principal amount of Series 2024-1 Class A-2-II senior secured notes (the “</w:t>
      </w:r>
      <w:r>
        <w:rPr>
          <w:rFonts w:ascii="Times New Roman" w:cs="Times New Roman" w:eastAsia="Times New Roman" w:hAnsi="Times New Roman"/>
          <w:sz w:val="18"/>
          <w:szCs w:val="18"/>
          <w:u w:val="single" w:color="auto"/>
          <w:color w:val="auto"/>
        </w:rPr>
        <w:t>Twin Class A-2-II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with an interest rate of 9.00% and a maturity date of October 26, 2054 (collectively, the “</w:t>
      </w:r>
      <w:r>
        <w:rPr>
          <w:rFonts w:ascii="Times New Roman" w:cs="Times New Roman" w:eastAsia="Times New Roman" w:hAnsi="Times New Roman"/>
          <w:sz w:val="18"/>
          <w:szCs w:val="18"/>
          <w:u w:val="single" w:color="auto"/>
          <w:color w:val="auto"/>
        </w:rPr>
        <w:t>Twin Prepetition Notes</w:t>
      </w:r>
      <w:r>
        <w:rPr>
          <w:rFonts w:ascii="Times New Roman" w:cs="Times New Roman" w:eastAsia="Times New Roman" w:hAnsi="Times New Roman"/>
          <w:sz w:val="18"/>
          <w:szCs w:val="18"/>
          <w:color w:val="auto"/>
        </w:rPr>
        <w:t>”). The Twin Prepetition Indenture and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Twin Prepetition Indenture), shall collectively be referred to as the “</w:t>
      </w:r>
      <w:r>
        <w:rPr>
          <w:rFonts w:ascii="Times New Roman" w:cs="Times New Roman" w:eastAsia="Times New Roman" w:hAnsi="Times New Roman"/>
          <w:sz w:val="18"/>
          <w:szCs w:val="18"/>
          <w:u w:val="single" w:color="auto"/>
          <w:color w:val="auto"/>
        </w:rPr>
        <w:t>Twin Prepetition Notes Documents</w:t>
      </w:r>
      <w:r>
        <w:rPr>
          <w:rFonts w:ascii="Times New Roman" w:cs="Times New Roman" w:eastAsia="Times New Roman" w:hAnsi="Times New Roman"/>
          <w:sz w:val="18"/>
          <w:szCs w:val="18"/>
          <w:color w:val="auto"/>
        </w:rPr>
        <w:t>”, and all obligations of every nature under the Twin Prepetition Indenture, the “</w:t>
      </w:r>
      <w:r>
        <w:rPr>
          <w:rFonts w:ascii="Times New Roman" w:cs="Times New Roman" w:eastAsia="Times New Roman" w:hAnsi="Times New Roman"/>
          <w:sz w:val="18"/>
          <w:szCs w:val="18"/>
          <w:u w:val="single" w:color="auto"/>
          <w:color w:val="auto"/>
        </w:rPr>
        <w:t>Twin Prepetition Secured Obligations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WHEREAS, (a) the FBG DIP Borrowers have requested that the FBG DIP Lenders (as defined below) make available a multiple draw secured term loan facility in an aggregate principal amount of up to $184,560,000, pursuant to which the FBG DIP Lenders will provide (i) a “new money” facility in an aggregate principal amount of up to $46,140,000 (the “</w:t>
      </w:r>
      <w:r>
        <w:rPr>
          <w:rFonts w:ascii="Times New Roman" w:cs="Times New Roman" w:eastAsia="Times New Roman" w:hAnsi="Times New Roman"/>
          <w:sz w:val="18"/>
          <w:szCs w:val="18"/>
          <w:u w:val="single" w:color="auto"/>
          <w:color w:val="auto"/>
        </w:rPr>
        <w:t>FBG New Money Term Facility</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FBG New 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and (ii) a roll-up facility in an aggregate principal amount of up to $138,420,000, representing a roll-up of FBG Class A-2 Prepetition Notes on a three dollars to one dollar basis of the FBG Commitments hereunder made pursuant to the FBG Prepetition Notes Documents (the “</w:t>
      </w:r>
      <w:r>
        <w:rPr>
          <w:rFonts w:ascii="Times New Roman" w:cs="Times New Roman" w:eastAsia="Times New Roman" w:hAnsi="Times New Roman"/>
          <w:sz w:val="18"/>
          <w:szCs w:val="18"/>
          <w:u w:val="single" w:color="auto"/>
          <w:color w:val="auto"/>
        </w:rPr>
        <w:t>FBG Roll-Up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(clause (ii) hereof, the “</w:t>
      </w:r>
      <w:r>
        <w:rPr>
          <w:rFonts w:ascii="Times New Roman" w:cs="Times New Roman" w:eastAsia="Times New Roman" w:hAnsi="Times New Roman"/>
          <w:sz w:val="18"/>
          <w:szCs w:val="18"/>
          <w:u w:val="single" w:color="auto"/>
          <w:color w:val="auto"/>
        </w:rPr>
        <w:t>FBG Roll-Up DIP Facility</w:t>
      </w:r>
      <w:r>
        <w:rPr>
          <w:rFonts w:ascii="Times New Roman" w:cs="Times New Roman" w:eastAsia="Times New Roman" w:hAnsi="Times New Roman"/>
          <w:sz w:val="18"/>
          <w:szCs w:val="18"/>
          <w:color w:val="auto"/>
        </w:rPr>
        <w:t>” and together with the FBG New Money Term Facility, the “</w:t>
      </w:r>
      <w:r>
        <w:rPr>
          <w:rFonts w:ascii="Times New Roman" w:cs="Times New Roman" w:eastAsia="Times New Roman" w:hAnsi="Times New Roman"/>
          <w:sz w:val="18"/>
          <w:szCs w:val="18"/>
          <w:u w:val="single" w:color="auto"/>
          <w:color w:val="auto"/>
        </w:rPr>
        <w:t>FBG DIP Facility</w:t>
      </w:r>
      <w:r>
        <w:rPr>
          <w:rFonts w:ascii="Times New Roman" w:cs="Times New Roman" w:eastAsia="Times New Roman" w:hAnsi="Times New Roman"/>
          <w:sz w:val="18"/>
          <w:szCs w:val="18"/>
          <w:color w:val="auto"/>
        </w:rPr>
        <w:t>”); and (b) the Twin DIP Borrower has requested that the Twin DIP Lenders (as defined below) make available a multiple draw secured term loan facility in an aggregate principal amount of up to $123,040,000, pursuant to which the Twin DIP Lenders will provide (i) a “new money” facility in an aggregate principal amount of up to $30,760,000 (the “</w:t>
      </w:r>
      <w:r>
        <w:rPr>
          <w:rFonts w:ascii="Times New Roman" w:cs="Times New Roman" w:eastAsia="Times New Roman" w:hAnsi="Times New Roman"/>
          <w:sz w:val="18"/>
          <w:szCs w:val="18"/>
          <w:u w:val="single" w:color="auto"/>
          <w:color w:val="auto"/>
        </w:rPr>
        <w:t>Twin New Money Term Facility</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Twin New Money Term Loans</w:t>
      </w:r>
      <w:r>
        <w:rPr>
          <w:rFonts w:ascii="Times New Roman" w:cs="Times New Roman" w:eastAsia="Times New Roman" w:hAnsi="Times New Roman"/>
          <w:sz w:val="18"/>
          <w:szCs w:val="18"/>
          <w:color w:val="auto"/>
        </w:rPr>
        <w:t>”) and (ii) (A) a roll-up facility in an aggregate principal amount of up to $12,684,907.88, representing a roll-up of the Twin Class A-2-I Notes on a three dollars to one dollar basis of the Twin Commitments hereunder made pursuant to the Twin Prepetition Notes Documents (the “</w:t>
      </w:r>
      <w:r>
        <w:rPr>
          <w:rFonts w:ascii="Times New Roman" w:cs="Times New Roman" w:eastAsia="Times New Roman" w:hAnsi="Times New Roman"/>
          <w:sz w:val="18"/>
          <w:szCs w:val="18"/>
          <w:u w:val="single" w:color="auto"/>
          <w:color w:val="auto"/>
        </w:rPr>
        <w:t>Twin Senior Roll-Up Financing</w:t>
      </w:r>
      <w:r>
        <w:rPr>
          <w:rFonts w:ascii="Times New Roman" w:cs="Times New Roman" w:eastAsia="Times New Roman" w:hAnsi="Times New Roman"/>
          <w:sz w:val="18"/>
          <w:szCs w:val="18"/>
          <w:color w:val="auto"/>
        </w:rPr>
        <w:t>”) and (B) a roll-up facility in an aggregate principal amount of up to $79,595,092.12, representing a roll-up of the Twin Class A-2-II Notes on a three dollars to one dollar basis of the Twin Commitments hereunder made pursuant to the Twin Prepetition Notes Documents (the “</w:t>
      </w:r>
      <w:r>
        <w:rPr>
          <w:rFonts w:ascii="Times New Roman" w:cs="Times New Roman" w:eastAsia="Times New Roman" w:hAnsi="Times New Roman"/>
          <w:sz w:val="18"/>
          <w:szCs w:val="18"/>
          <w:u w:val="single" w:color="auto"/>
          <w:color w:val="auto"/>
        </w:rPr>
        <w:t>Twin Junior Roll-Up Financing</w:t>
      </w:r>
      <w:r>
        <w:rPr>
          <w:rFonts w:ascii="Times New Roman" w:cs="Times New Roman" w:eastAsia="Times New Roman" w:hAnsi="Times New Roman"/>
          <w:sz w:val="18"/>
          <w:szCs w:val="18"/>
          <w:color w:val="auto"/>
        </w:rPr>
        <w:t>” and together with the Twin Senior Roll-Up Financing, the “</w:t>
      </w:r>
      <w:r>
        <w:rPr>
          <w:rFonts w:ascii="Times New Roman" w:cs="Times New Roman" w:eastAsia="Times New Roman" w:hAnsi="Times New Roman"/>
          <w:sz w:val="18"/>
          <w:szCs w:val="18"/>
          <w:u w:val="single" w:color="auto"/>
          <w:color w:val="auto"/>
        </w:rPr>
        <w:t>Twin Roll-Up Financing</w:t>
      </w:r>
      <w:r>
        <w:rPr>
          <w:rFonts w:ascii="Times New Roman" w:cs="Times New Roman" w:eastAsia="Times New Roman" w:hAnsi="Times New Roman"/>
          <w:sz w:val="18"/>
          <w:szCs w:val="18"/>
          <w:color w:val="auto"/>
        </w:rPr>
        <w:t>”) (clause (ii) hereof, the “</w:t>
      </w:r>
      <w:r>
        <w:rPr>
          <w:rFonts w:ascii="Times New Roman" w:cs="Times New Roman" w:eastAsia="Times New Roman" w:hAnsi="Times New Roman"/>
          <w:sz w:val="18"/>
          <w:szCs w:val="18"/>
          <w:u w:val="single" w:color="auto"/>
          <w:color w:val="auto"/>
        </w:rPr>
        <w:t>Twin Roll-Up DIP Facility</w:t>
      </w:r>
      <w:r>
        <w:rPr>
          <w:rFonts w:ascii="Times New Roman" w:cs="Times New Roman" w:eastAsia="Times New Roman" w:hAnsi="Times New Roman"/>
          <w:sz w:val="18"/>
          <w:szCs w:val="18"/>
          <w:color w:val="auto"/>
        </w:rPr>
        <w:t>” and together with the Twin New Money Term Facility, the “</w:t>
      </w:r>
      <w:r>
        <w:rPr>
          <w:rFonts w:ascii="Times New Roman" w:cs="Times New Roman" w:eastAsia="Times New Roman" w:hAnsi="Times New Roman"/>
          <w:sz w:val="18"/>
          <w:szCs w:val="18"/>
          <w:u w:val="single" w:color="auto"/>
          <w:color w:val="auto"/>
        </w:rPr>
        <w:t>Twin DIP Facility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the DIP Lenders have agreed to provide the DIP Facility, the proceeds of which shall be used, in each case in accordance with the Approved Budget and subject to the DIP Loan Documents, the DIP Orders and the Stipulated Allocation, to fund (a) necessary operating and working capital expenses of the Loan Parties to fulfill franchisee obligations; (b) the Borrowers’ post-petition administrative expenses required to effectuate an Acceptable Sale Transaction (as defined below); (c) obligations arising under the Carve-Out; (d) the agency fees and reasonable fees and expenses of the DIP Agent and the DIP Lenders owed under the DIP Loan Documents; (e) any Prepetition Secured Obligations of the Loan Parties pursuant to any First Day Order or Final Order approved by the DIP Agent (at the written direction of the Required Lenders); (f) to the extent necessary, to make intercompany loans from one Loan Party to another Loan Party, which shall be secured by liens senior to the DIP Liens; (g) to make payments under the Governance Agreement; and (h) to fund the expenses of the Parent and the Twin Manager and to pay the Management Fees.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each Borrower, the Parent and the Twin Manager acknowledges that they each will receive substantial direct and indirect benefits by reason of the making of loans and other financial accommodations to the Borrowers as provided in this Agreement;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conditions set forth below, the parties hereto,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Sale Process</w:t>
      </w:r>
      <w:r>
        <w:rPr>
          <w:rFonts w:ascii="Times New Roman" w:cs="Times New Roman" w:eastAsia="Times New Roman" w:hAnsi="Times New Roman"/>
          <w:sz w:val="18"/>
          <w:szCs w:val="18"/>
          <w:color w:val="auto"/>
        </w:rPr>
        <w:t>” means one or more processes to be conducted by the Debtors pursuant to section 363 of the Bankruptcy Code to sell, in one or more sale transactions, all or substantially all of their assets, including the filing by the Debtors of the Bidding Procedures Motion and in accordance with the Bidding Procedures.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Sale Transaction</w:t>
      </w:r>
      <w:r>
        <w:rPr>
          <w:rFonts w:ascii="Times New Roman" w:cs="Times New Roman" w:eastAsia="Times New Roman" w:hAnsi="Times New Roman"/>
          <w:sz w:val="18"/>
          <w:szCs w:val="18"/>
          <w:color w:val="auto"/>
        </w:rPr>
        <w:t>” means a sale, in one or more sale transactions, of all or substantially all of the Debtors’ assets pursuant to section 363 of the Bankruptcy Code that either (i) results in the simultaneous payment in full in cash of all Obligations and Prepetition Secured Obligations or (ii) is otherwise acceptable to the Required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Cash Receipts</w:t>
      </w:r>
      <w:r>
        <w:rPr>
          <w:rFonts w:ascii="Times New Roman" w:cs="Times New Roman" w:eastAsia="Times New Roman" w:hAnsi="Times New Roman"/>
          <w:sz w:val="18"/>
          <w:szCs w:val="18"/>
          <w:color w:val="auto"/>
        </w:rPr>
        <w:t>” means with respect to any period, the amount of actual cash receipts during such period of the Loan Parties (excluding any borrowings under this Agreement) that correspond to each line item (on a line item by line item basis) under the heading “Total Receipts” in the Approved Budget, as determined by reference to the Approved Budget as then in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Disbursement Amounts</w:t>
      </w:r>
      <w:r>
        <w:rPr>
          <w:rFonts w:ascii="Times New Roman" w:cs="Times New Roman" w:eastAsia="Times New Roman" w:hAnsi="Times New Roman"/>
          <w:sz w:val="18"/>
          <w:szCs w:val="18"/>
          <w:color w:val="auto"/>
        </w:rPr>
        <w:t>” means, with respect to any period, the amount of actual disbursements made by the Loan Parties during such period that correspond to (i) each line item (on a line item by line item basis) under the headings “Total Operating Disbursements” and “Non-Operating/Non Recurring Cash Flow” and (ii) the line item “Bankruptcy-Related Professional Fees” under the heading “Bankruptcy-Related Disbursements” in the Approved Budget, as determined by reference to the Approved Budget as then in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 Hoc Group</w:t>
      </w:r>
      <w:r>
        <w:rPr>
          <w:rFonts w:ascii="Times New Roman" w:cs="Times New Roman" w:eastAsia="Times New Roman" w:hAnsi="Times New Roman"/>
          <w:sz w:val="18"/>
          <w:szCs w:val="18"/>
          <w:color w:val="auto"/>
        </w:rPr>
        <w:t>” means that certain ad hoc group of holders of FBG Prepetition Notes and Twin Prepetition Notes represented by White &amp; Case LLP and the Specified Financial Advisor.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the Administrative Questionnaire completed by each Lender and delivered to the DIP Agent in a form supplied by the DIP Agent to the DIP Lenders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has the meaning set forth in section 101(2) of the Bankruptcy Code and also includes any other Person that directly or indirectly, through one or more intermediaries, controls, is controlled by, or is under common control with, such Person. For the purposes of this definition,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Person</w:t>
      </w:r>
      <w:r>
        <w:rPr>
          <w:rFonts w:ascii="Times New Roman" w:cs="Times New Roman" w:eastAsia="Times New Roman" w:hAnsi="Times New Roman"/>
          <w:sz w:val="18"/>
          <w:szCs w:val="18"/>
          <w:color w:val="auto"/>
        </w:rPr>
        <w:t>” means a person that is an “affiliated person,” as such term is defined in section 2(a)(3) of the Investment Company Act of 1940, as amended, or an affiliated person of any such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that certain request for proposal of the DIP Agent, dated as of March 16, 2026 and accepted on behalf of the Borrowers on March 18, 2026, as may be amended, amended and restated, replaced,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provided in the first paragraph of this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12.00%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Budget</w:t>
      </w:r>
      <w:r>
        <w:rPr>
          <w:rFonts w:ascii="Times New Roman" w:cs="Times New Roman" w:eastAsia="Times New Roman" w:hAnsi="Times New Roman"/>
          <w:sz w:val="18"/>
          <w:szCs w:val="18"/>
          <w:color w:val="auto"/>
        </w:rPr>
        <w:t>” means the Budget prepared by the Debtors and delivered, and approved by, the Required Lenders on or prior to the Closing Date in connection with transactions contemplated hereby, as updated, modified or supplemented from time to time by the Debtors and approved by the Required Lenders as provided in Section 5(a).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means an auction in accordance with an Acceptable Sale Process.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Actions</w:t>
      </w:r>
      <w:r>
        <w:rPr>
          <w:rFonts w:ascii="Times New Roman" w:cs="Times New Roman" w:eastAsia="Times New Roman" w:hAnsi="Times New Roman"/>
          <w:sz w:val="18"/>
          <w:szCs w:val="18"/>
          <w:color w:val="auto"/>
        </w:rPr>
        <w:t>” has the meaning assigned to such term in the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means bidding procedures in accordance with an Acceptable Sale Process in form and substance reasonably acceptable to the Required Lenders, which shall comply with the Milestones.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with the Bankruptcy Court filed at Docket No. 420 in form and substance reasonably acceptable to the Required Lenders seeking approval, among other things, to (a) implement the Bidding Procedures in connection with any sale of DIP Collateral or related assets and (b) consummate an Acceptable Sale Transaction in accordance with the Bidding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 Final Order of the Bankruptcy Court in the Chapter 11 Cases, in form and substance acceptable to the Required Lenders, approving the Bidding Procedures Motion, as the same may be amended, restated, supplemented or otherwise modified from time to time with the express written consent of the Required Lenders, which shall (among other things) deem any bid submitted by any of the Secured Parties or the Prepetition Secured Parties as a qualifying bid.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of the DIP Loans.</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as the context may require, the Closing Date, the Second Borrowing Date and the Third Borrowing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has the meaning provided in Section 5(a).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Budgeted Cash Receipts</w:t>
      </w:r>
      <w:r>
        <w:rPr>
          <w:rFonts w:ascii="Times New Roman" w:cs="Times New Roman" w:eastAsia="Times New Roman" w:hAnsi="Times New Roman"/>
          <w:sz w:val="18"/>
          <w:szCs w:val="18"/>
          <w:color w:val="auto"/>
        </w:rPr>
        <w:t>” means, with respect to any period, the amount of projected cash receipts (including from non-ordinary course asset sales) during such period of the Loan Parties on a consolidated basis that corresponds to the line item under the heading “Total Receipts” in the Approved Budget, in each case, as determined by reference to the Approved Budget as then in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Budgeted Disbursement Amounts</w:t>
      </w:r>
      <w:r>
        <w:rPr>
          <w:rFonts w:ascii="Times New Roman" w:cs="Times New Roman" w:eastAsia="Times New Roman" w:hAnsi="Times New Roman"/>
          <w:sz w:val="18"/>
          <w:szCs w:val="18"/>
          <w:color w:val="auto"/>
        </w:rPr>
        <w:t>” means, with respect to any period, the amount of projected disbursements during such period of the Loan Parties on a consolidated basis that corresponds to: (i) each line item (on a line item by line item basis) under the headings “Total Operating Disbursements” and “Non-Operating/ Non Recurring Cash Flow” and (ii) the line item “Bankruptcy-Related Professional Fees” under the heading “Bankruptcy-Related Disbursements” in the Approved Budget, as determined by reference to the Approved Budget as then in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that is a legal holiday in New York, New York, or a day on which banking institutions in New York, New York are authorized or required by law or other government action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with respect to any Person, any lease of any property (whether real, Personal or mixed) by that Person as lessee that, in conformity with GAAP, is accounted for as a capital lease on the balance sheet of that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Carve-Out</w:t>
      </w:r>
      <w:r>
        <w:rPr>
          <w:rFonts w:ascii="Times New Roman" w:cs="Times New Roman" w:eastAsia="Times New Roman" w:hAnsi="Times New Roman"/>
          <w:sz w:val="18"/>
          <w:szCs w:val="18"/>
          <w:color w:val="auto"/>
        </w:rPr>
        <w:t>” has the meaning provided in the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has the meaning set forth in section 363(a) of the Bankruptcy Code and includes the proceeds of DIP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assigned to the term “change of control” or “change in control” or equivalent in the Prepetition Notes Documents and in any other material Indebtedness for borrowed money of the Loan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in Section 4(a) below shall have been met.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collectively, the FBG Commitments and the Twin Commitments.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Closing Date and ending on the date that is the earliest of (a) (x) five (5) Business Days prior to clause (a) of the Maturity Date and (y) the date or time set forth in any other clause under the definition of Maturity Date and (b) the date the Commitments have been reduced to $0 (by utilization thereof, reduction thereof or acceleration thereof,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Bid</w:t>
      </w:r>
      <w:r>
        <w:rPr>
          <w:rFonts w:ascii="Times New Roman" w:cs="Times New Roman" w:eastAsia="Times New Roman" w:hAnsi="Times New Roman"/>
          <w:sz w:val="18"/>
          <w:szCs w:val="18"/>
          <w:color w:val="auto"/>
        </w:rPr>
        <w:t>” means any credit bid by any DIP Lender in respect of the Obligations, pursuant to section 363(k) of the Bankruptcy Code, the Bidding Procedures,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t>
      </w:r>
      <w:r>
        <w:rPr>
          <w:rFonts w:ascii="Times New Roman" w:cs="Times New Roman" w:eastAsia="Times New Roman" w:hAnsi="Times New Roman"/>
          <w:sz w:val="18"/>
          <w:szCs w:val="18"/>
          <w:color w:val="auto"/>
        </w:rPr>
        <w:t>” means John C. DiDonato, in his capacity as Chief Restructuring Officer of each of the Debtors and/or Abhimanyu Gupta, in his capacity as Deputy Chief Restructuring Officer of each of the Debtors.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act or condition which with notice or lapse of time, or both, would constitute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with respect to overdue principal on outstanding DIP Loans, the applicable interest rate plus 2.00% per annum, and with respect to any other overdue amount (including overdue interest), the interest rate applicable to the DIP Loans plus 2.00% per annum, which, in each case, shall be payable on demand.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has the meaning specified in the first paragraph of this Agreement and shall include any successor DIP Agent appointed in accordance with the terms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Collateral</w:t>
      </w:r>
      <w:r>
        <w:rPr>
          <w:rFonts w:ascii="Times New Roman" w:cs="Times New Roman" w:eastAsia="Times New Roman" w:hAnsi="Times New Roman"/>
          <w:sz w:val="18"/>
          <w:szCs w:val="18"/>
          <w:color w:val="auto"/>
        </w:rPr>
        <w:t>” means all assets and property of each Loan Party, now owned or hereafter acquired, which is subject to the Liens granted by such Loan Party (or intended to be subject to Liens granted by such Loan Party) that secures the Obligations pursuant to the DIP Order and Section 10(a) hereof, and shall include without limitation all “DIP Collateral” as such term is defined in the DIP Order. Notwithstanding the foregoing or anything to the contrary in any Loan Document, in no event shall any Excluded Asset constitute DIP Collateral.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Facility</w:t>
      </w:r>
      <w:r>
        <w:rPr>
          <w:rFonts w:ascii="Times New Roman" w:cs="Times New Roman" w:eastAsia="Times New Roman" w:hAnsi="Times New Roman"/>
          <w:sz w:val="18"/>
          <w:szCs w:val="18"/>
          <w:color w:val="auto"/>
        </w:rPr>
        <w:t>” means, collectively, the FBG DIP Facility and the Twin DIP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means, collectively, the FBG DIP Lenders and the Twin DIP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Liens</w:t>
      </w:r>
      <w:r>
        <w:rPr>
          <w:rFonts w:ascii="Times New Roman" w:cs="Times New Roman" w:eastAsia="Times New Roman" w:hAnsi="Times New Roman"/>
          <w:sz w:val="18"/>
          <w:szCs w:val="18"/>
          <w:color w:val="auto"/>
        </w:rPr>
        <w:t>” has the meaning provided in Section 10(a)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Loan</w:t>
      </w:r>
      <w:r>
        <w:rPr>
          <w:rFonts w:ascii="Times New Roman" w:cs="Times New Roman" w:eastAsia="Times New Roman" w:hAnsi="Times New Roman"/>
          <w:sz w:val="18"/>
          <w:szCs w:val="18"/>
          <w:color w:val="auto"/>
        </w:rPr>
        <w:t>” means an extension of credit by any DIP Lender to the applicable Borrowers under Section 2, which shall include (a) the FBG New Money Term Loans, (b) the Twin New Money Term Loans and (c) following the Roll-Up Effective Time, the deemed extensions of credit under Section 2(f) in the form of Roll-Up Loans.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Loan Documents</w:t>
      </w:r>
      <w:r>
        <w:rPr>
          <w:rFonts w:ascii="Times New Roman" w:cs="Times New Roman" w:eastAsia="Times New Roman" w:hAnsi="Times New Roman"/>
          <w:sz w:val="18"/>
          <w:szCs w:val="18"/>
          <w:color w:val="auto"/>
        </w:rPr>
        <w:t>” means this Agreement, each Guaranty, each Segregated Account Control Agreement and all notes, guaranties, security agreements, mortgages, certificates, landlord’s agreements, lock box and blocked account agreements, the DIP Order, the Approved Budget, the Agent Fee Letter, the Houlihan Engagement Letter and all other agreements, documents and instruments now or hereafter executed or delivered by any Borrower or any other Loan Party in connection with, or to evidence the transactions contemplated by, this Agreement and/or the credit extended hereunder, in each case, as amended,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means the Interim DIP Order or the Final DIP Order, as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(a) the sale, conveyance, transfer, license, lease or other disposition, whether in a single transaction or a series of related transactions, of property or assets (including by way of a sale and leaseback transaction) of the Loan Parties (in each case, other than qualified capital stock of the Borrowers)or (b) the issuance or sale of capital stock of any Loan Party, whether in a single transaction or a series of related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States of America.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Drawn Excess Amount</w:t>
      </w:r>
      <w:r>
        <w:rPr>
          <w:rFonts w:ascii="Times New Roman" w:cs="Times New Roman" w:eastAsia="Times New Roman" w:hAnsi="Times New Roman"/>
          <w:sz w:val="18"/>
          <w:szCs w:val="18"/>
          <w:color w:val="auto"/>
        </w:rPr>
        <w:t>” means, with respect to any calendar month (the “</w:t>
      </w:r>
      <w:r>
        <w:rPr>
          <w:rFonts w:ascii="Times New Roman" w:cs="Times New Roman" w:eastAsia="Times New Roman" w:hAnsi="Times New Roman"/>
          <w:sz w:val="18"/>
          <w:szCs w:val="18"/>
          <w:u w:val="single" w:color="auto"/>
          <w:color w:val="auto"/>
        </w:rPr>
        <w:t>Measurement Month</w:t>
      </w:r>
      <w:r>
        <w:rPr>
          <w:rFonts w:ascii="Times New Roman" w:cs="Times New Roman" w:eastAsia="Times New Roman" w:hAnsi="Times New Roman"/>
          <w:sz w:val="18"/>
          <w:szCs w:val="18"/>
          <w:color w:val="auto"/>
        </w:rPr>
        <w:t xml:space="preserve">”), the positive difference, if any, between: (a) the aggregate amount actually withdrawn by the Borrowers from the Segregated Accounts during such Measurement Month,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amount of such withdrawn funds that were actually disbursed and applied by the applicable Loan Parties during such Measurement Month for expenditures that are permitted under, and consistent with the applicable line items of, the Approved Budget in effect, in each case as determined by reference to the Variance Report for the Variance Testing Period that includes such Measurement Month.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 of Bankruptcy</w:t>
      </w:r>
      <w:r>
        <w:rPr>
          <w:rFonts w:ascii="Times New Roman" w:cs="Times New Roman" w:eastAsia="Times New Roman" w:hAnsi="Times New Roman"/>
          <w:sz w:val="18"/>
          <w:szCs w:val="18"/>
          <w:color w:val="auto"/>
        </w:rPr>
        <w:t>” means, with respect to any contractual obligation, contract or agreement to which a Loan Party or a Subsidiary thereof is a party, any default or other legal consequences arising on account of the commencement or the filing of the Chapter 11 Cases (including the implementation of any stay), or the rejection of any such contractual obligation, contract or agreement with the approval of the Bankruptcy Court if required under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provided in Section 6.</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 any accounts used solely as (i) payroll and other employee wage and benefit accounts, (ii) accounts holding taxes (including sales tax and withholding tax) withheld or collected in respect of third parties and fiduciary accounts for unaffiliated third parties, (iii) zero balance accounts that are swept daily into a deposit account subject to a control agreement, (iv) cash collateral accounts for letters of credit, letters of guaranty, sureties and similar obligations (other than Cash Collateral), (v) other accounts with an average daily balance not in excess of $250,000 in any individual account or $500,000 in the aggregate for all such accounts that are Excluded Accounts pursuant to this clause (v) and (vi) other accounts as approved by the Required Lenders in their sole discretion.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(1) any “intent-to-use” application for registration of a trademark filed pursuant to Section 1(b) of the Lanham Act, 15 U.S.C. § 1051, prior to the filing of a “Statement of Use” pursuant to Section 1(d) of the Lanham Act of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3" w:lineRule="exact"/>
        <w:rPr>
          <w:sz w:val="20"/>
          <w:szCs w:val="20"/>
          <w:color w:val="auto"/>
        </w:rPr>
      </w:pPr>
    </w:p>
    <w:p>
      <w:pPr>
        <w:jc w:val="both"/>
        <w:ind w:firstLine="8"/>
        <w:spacing w:after="0" w:line="250" w:lineRule="auto"/>
        <w:tabs>
          <w:tab w:leader="none" w:pos="2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in respect of which pledges and security interests (x) are prohibited or restricted by (A) any law or regulation or (B) any contractual obligation (including any requirement to obtain the consent of any third party) (other than the Borrower or any Subsidiary)) that, in the case of this clause (B), exists on the Closing Date or at the time the relevant Guarantor becomes a Guarantor and was not incurred in contemplation of its becoming a Guarantor (including pursuant to assumed Indebtedness so long as such Indebtedness is permitted to be assumed under this Agreement), in each case other than to the extent that such prohibition would be rendered ineffective pursuant to Sections 9-406, 9-407, 9-408, 9-409 or other applicable provisions of the UCC of any relevant jurisdiction, the Bankruptcy Code, or any other applicable law); provided that, immediately upon the ineffectiveness, lapse or termination of any such prohibitions, such assets shall automatically cease to constitute Excluded Assets, (y) would require a governmental (including regulatory) consent, approval, license or authorization in order to provide the lien that is required on the Closing Date or at the time the relevant Guarantor becomes a Guarantor, unless such consent, approval, license or authorization has been obtained, or (z) would result in material adverse tax consequences to any Loan Party or any Subsidiary as reasonably determined by the Borrower and the Required Lenders, (3) equity interests in any entity other than wholly owned Subsidiaries to the extent pledges thereof are not permitted by such entity’s organizational or joint venture documents if and only if such prohibition was not added in order to result in Excluded Asset status (unless any such restriction would be rendered ineffective pursuant to Sections 9-406, 9-407, 9-408, 9-409 or other applicable provisions of the UCC of any relevant jurisdiction, the Bankruptcy Code, or any other applicable law), (4)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the Borrower or any other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provided that, immediately upon the ineffectiveness, lapse or termination of any such term, such assets shall automatically cease to constitute Excluded Assets, (5) Excluded Accounts and (6) those assets as to which the DIP Agent (at the written direction of the Required Lenders) agrees in writing that the cost, burden, difficulty or consequence of obtaining such a security interest or perfection thereof outweighs, or are excessive in relation to, the practical benefit to the DIP Lenders of the security to be afforded thereby. For the avoidance of doubt, in no event shall the Segregated Account constitute an Excluded Asset.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Adequate Protection Liens</w:t>
      </w:r>
      <w:r>
        <w:rPr>
          <w:rFonts w:ascii="Times New Roman" w:cs="Times New Roman" w:eastAsia="Times New Roman" w:hAnsi="Times New Roman"/>
          <w:sz w:val="18"/>
          <w:szCs w:val="18"/>
          <w:color w:val="auto"/>
        </w:rPr>
        <w:t>” has the meaning provided in the Interim DIP Order, as may be amended by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Backstop Fee</w:t>
      </w:r>
      <w:r>
        <w:rPr>
          <w:rFonts w:ascii="Times New Roman" w:cs="Times New Roman" w:eastAsia="Times New Roman" w:hAnsi="Times New Roman"/>
          <w:sz w:val="18"/>
          <w:szCs w:val="18"/>
          <w:color w:val="auto"/>
        </w:rPr>
        <w:t xml:space="preserve">” means has the meaning provided in </w:t>
      </w:r>
      <w:r>
        <w:rPr>
          <w:rFonts w:ascii="Times New Roman" w:cs="Times New Roman" w:eastAsia="Times New Roman" w:hAnsi="Times New Roman"/>
          <w:sz w:val="18"/>
          <w:szCs w:val="18"/>
          <w:u w:val="single" w:color="auto"/>
          <w:color w:val="auto"/>
        </w:rPr>
        <w:t>Section 2(h)(v)(A)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Backstop Parties</w:t>
      </w:r>
      <w:r>
        <w:rPr>
          <w:rFonts w:ascii="Times New Roman" w:cs="Times New Roman" w:eastAsia="Times New Roman" w:hAnsi="Times New Roman"/>
          <w:sz w:val="18"/>
          <w:szCs w:val="18"/>
          <w:color w:val="auto"/>
        </w:rPr>
        <w:t>” means those certain DIP Lenders that backstop the FBG New Money Term Loans, which as of the Closing Date are all FBG DIP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Class A-2 Prepetition Notes</w:t>
      </w:r>
      <w:r>
        <w:rPr>
          <w:rFonts w:ascii="Times New Roman" w:cs="Times New Roman" w:eastAsia="Times New Roman" w:hAnsi="Times New Roman"/>
          <w:sz w:val="18"/>
          <w:szCs w:val="18"/>
          <w:color w:val="auto"/>
        </w:rPr>
        <w:t>” means, collectively, (a) the Royalty Class A-2 Notes; (b) GFG Class A-2 Notes; and (c) the Fazoli Prepetition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Class A-2 Prepetition Secured Obligations</w:t>
      </w:r>
      <w:r>
        <w:rPr>
          <w:rFonts w:ascii="Times New Roman" w:cs="Times New Roman" w:eastAsia="Times New Roman" w:hAnsi="Times New Roman"/>
          <w:sz w:val="18"/>
          <w:szCs w:val="18"/>
          <w:color w:val="auto"/>
        </w:rPr>
        <w:t>” means all obligations of every nature in connection with the FBG Class A-2 Prepetition Notes under the FBG Prepetition Indentures.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Commitments</w:t>
      </w:r>
      <w:r>
        <w:rPr>
          <w:rFonts w:ascii="Times New Roman" w:cs="Times New Roman" w:eastAsia="Times New Roman" w:hAnsi="Times New Roman"/>
          <w:sz w:val="18"/>
          <w:szCs w:val="18"/>
          <w:color w:val="auto"/>
        </w:rPr>
        <w:t xml:space="preserve">” means, as to each FBG DIP Lender, such FBG DIP Lender’s obligation to make a DIP Loan pursuant to Section 2, in an amount up to, but not exceeding, the amount set forth for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Lender’s “FBG New Money Term Facility”, as such amount may be adjusted from time to time in accordance with the terms hereof (including as necessary to reflect any repayments, prepayments, or commitment reductions) or reduced or increased from time to time pursuant to assignments by or to such FBG DIP Lender pursuant to Section 8(d) and as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may be amended from time to time to reflect such assignments.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Borrower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Collateral</w:t>
      </w:r>
      <w:r>
        <w:rPr>
          <w:rFonts w:ascii="Times New Roman" w:cs="Times New Roman" w:eastAsia="Times New Roman" w:hAnsi="Times New Roman"/>
          <w:sz w:val="18"/>
          <w:szCs w:val="18"/>
          <w:color w:val="auto"/>
        </w:rPr>
        <w:t>” has the meaning provided in the Interim DIP Order (and, for the avoidance of doubt, excluding any Excluded Assets), as may be amended by the Final DIP Order.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Guarantors</w:t>
      </w:r>
      <w:r>
        <w:rPr>
          <w:rFonts w:ascii="Times New Roman" w:cs="Times New Roman" w:eastAsia="Times New Roman" w:hAnsi="Times New Roman"/>
          <w:sz w:val="18"/>
          <w:szCs w:val="18"/>
          <w:color w:val="auto"/>
        </w:rPr>
        <w:t>” means, collectively, (a) the Parent; (b) each FBG Subsidiary Guarantor; and (c) each entity designated as a “Guarantor” or “Additional Guarantor” under the FBG Prepetition Notes Documents. Notwithstanding the foregoing, and notwithstanding anything to the contrary in this Agreement, SEEDS OF COMPASSION FUND, INC. shall not be a FBG DIP Guarantor hereunder and shall not have any of the obligations of a FBG DIP Guarantor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Lender</w:t>
      </w:r>
      <w:r>
        <w:rPr>
          <w:rFonts w:ascii="Times New Roman" w:cs="Times New Roman" w:eastAsia="Times New Roman" w:hAnsi="Times New Roman"/>
          <w:sz w:val="18"/>
          <w:szCs w:val="18"/>
          <w:color w:val="auto"/>
        </w:rPr>
        <w:t>” means each financial institution from time to time party hereto as a “FBG DIP Lender,” together with its respective successors and permitted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Lien</w:t>
      </w:r>
      <w:r>
        <w:rPr>
          <w:rFonts w:ascii="Times New Roman" w:cs="Times New Roman" w:eastAsia="Times New Roman" w:hAnsi="Times New Roman"/>
          <w:sz w:val="18"/>
          <w:szCs w:val="18"/>
          <w:color w:val="auto"/>
        </w:rPr>
        <w:t>” has the meaning provided in the Interim DIP Order, as may be amended by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Loan Party</w:t>
      </w:r>
      <w:r>
        <w:rPr>
          <w:rFonts w:ascii="Times New Roman" w:cs="Times New Roman" w:eastAsia="Times New Roman" w:hAnsi="Times New Roman"/>
          <w:sz w:val="18"/>
          <w:szCs w:val="18"/>
          <w:color w:val="auto"/>
        </w:rPr>
        <w:t>” means each of the FBG DIP Borrowers and each FBG DIP Guarantor.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Obligations</w:t>
      </w:r>
      <w:r>
        <w:rPr>
          <w:rFonts w:ascii="Times New Roman" w:cs="Times New Roman" w:eastAsia="Times New Roman" w:hAnsi="Times New Roman"/>
          <w:sz w:val="18"/>
          <w:szCs w:val="18"/>
          <w:color w:val="auto"/>
        </w:rPr>
        <w:t>” means all obligations of every nature of each FBG DIP Borrower and each other FBG DIP Loan Party under this Agreement and the other applicable DIP Loan Documents, including, without limitation, any liability of such FBG DIP Loan Party on any claim, whether or not the right to payment in respect of such claim is reduced to judgment, liquidated, unliquidated, fixed or contingent, matured, disputed, undisputed, legal, equitable, secured or unsecured, and whether or not such claim is discharged, stayed or otherwise affected by any bankruptcy, insolvency, reorganization or other similar proceeding. Without limiting the generality of the foregoing, the FBG DIP Obligations of the FBG DIP Loan Parties under this Agreement include (a) the obligation to pay principal, interest, charges, expenses, fees, attorneys’ fees and disbursements, indemnities and other amounts payable by any FBG DIP Borrower under any DIP Loan Document and (b) the obligation to reimburse any amount in respect of any of the foregoing that the FBG DIP Lender, in its sole discretion, may elect to pay or advance on behalf of any FBG DIP Loan Party.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Noteholders</w:t>
      </w:r>
      <w:r>
        <w:rPr>
          <w:rFonts w:ascii="Times New Roman" w:cs="Times New Roman" w:eastAsia="Times New Roman" w:hAnsi="Times New Roman"/>
          <w:sz w:val="18"/>
          <w:szCs w:val="18"/>
          <w:color w:val="auto"/>
        </w:rPr>
        <w:t>” means the holders of the FBG Prepetition Notes.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Secured Parties</w:t>
      </w:r>
      <w:r>
        <w:rPr>
          <w:rFonts w:ascii="Times New Roman" w:cs="Times New Roman" w:eastAsia="Times New Roman" w:hAnsi="Times New Roman"/>
          <w:sz w:val="18"/>
          <w:szCs w:val="18"/>
          <w:color w:val="auto"/>
        </w:rPr>
        <w:t>” means, collectively, the DIP Agent, the FBG DIP Lenders, and each co-agent or sub-agent appointed by the DIP Agent from time to time pursuant to the terms of this Agreement, any other holder from time to time of any FBG DIP Obligations and, in each case, their respective successors and permitted assigns.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has the meaning provided in Section 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Subsidiary Guarantor</w:t>
      </w:r>
      <w:r>
        <w:rPr>
          <w:rFonts w:ascii="Times New Roman" w:cs="Times New Roman" w:eastAsia="Times New Roman" w:hAnsi="Times New Roman"/>
          <w:sz w:val="18"/>
          <w:szCs w:val="18"/>
          <w:color w:val="auto"/>
        </w:rPr>
        <w:t>” means each Subsidiary of the FBG DIP Borrowers.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Guaranty</w:t>
      </w:r>
      <w:r>
        <w:rPr>
          <w:rFonts w:ascii="Times New Roman" w:cs="Times New Roman" w:eastAsia="Times New Roman" w:hAnsi="Times New Roman"/>
          <w:sz w:val="18"/>
          <w:szCs w:val="18"/>
          <w:color w:val="auto"/>
        </w:rPr>
        <w:t xml:space="preserve">” means the Parent and Subsidiary Guaranty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executed and delivered by the FBG DIP Guarantors on the Closing Date, together with each joinder agreement and supplement executed and delivered in connection therewith, as the same may be amended, restated, supplemented, or otherwise modified from time to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DIP Order</w:t>
      </w:r>
      <w:r>
        <w:rPr>
          <w:rFonts w:ascii="Times New Roman" w:cs="Times New Roman" w:eastAsia="Times New Roman" w:hAnsi="Times New Roman"/>
          <w:sz w:val="18"/>
          <w:szCs w:val="18"/>
          <w:color w:val="auto"/>
        </w:rPr>
        <w:t>” means a Final Order of the Bankruptcy Court entered in the Chapter 11 Cases authorizing and approving the DIP Facility and the Debtors’ use of Cash Collateral and the terms of this Agreement and the other DIP Loan Documents, in form and substance acceptable to the Required Lenders in their reasonable discretion, as the same may be amended, restated, supplemented or otherwise modified from time to time with the express consent of the Required Lenders.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means an order signed by the Bankruptcy Court as to which no stay has been entered and which has not been reversed, vacated or overturned, and for which no appeal or motion to reconsider has been timely filed or, if timely filed, such appeal or motion to reconsider has been dismissed or denied unless the DIP Lender waives such requirement in writing.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Day Orders</w:t>
      </w:r>
      <w:r>
        <w:rPr>
          <w:rFonts w:ascii="Times New Roman" w:cs="Times New Roman" w:eastAsia="Times New Roman" w:hAnsi="Times New Roman"/>
          <w:sz w:val="18"/>
          <w:szCs w:val="18"/>
          <w:color w:val="auto"/>
        </w:rPr>
        <w:t>” means those orders entered by the Bankruptcy Court as a result of motions and applications filed by the Borrowers and the other Loan Parties with the Bankruptcy Court on the Petition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acceptable accounting principles applied on a consistent basis.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the resolution agreed to by the Special Committee, the Parent, the Ad Hoc Group, Andrew Wiederhorn and other parties thereto with respect to governance of the Debtors as set forth in the Amended and Restated Stipulation and Agreed Order Regarding Mediated Agreement Docket No. 472.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Protocol</w:t>
      </w:r>
      <w:r>
        <w:rPr>
          <w:rFonts w:ascii="Times New Roman" w:cs="Times New Roman" w:eastAsia="Times New Roman" w:hAnsi="Times New Roman"/>
          <w:sz w:val="18"/>
          <w:szCs w:val="18"/>
          <w:color w:val="auto"/>
        </w:rPr>
        <w:t>” has the meaning set forth in Section 4(a)(xvi).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regional, county, municipal or local, and any agency, authority, instrumentality, regulatory body, ministry,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(a) the FBG DIP Guarantors; and (b) the Twin DIP Guarantors. For the avoidance of doubt, SEEDS OF COMPASSION FUND, INC. shall not be a Guarantor hereunder and shall not have any of the obligations of a Guarantor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collectively, (a) the FBG Guaranty; and (b) the Twin Guaranty.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Houlihan Engagement Letter</w:t>
      </w:r>
      <w:r>
        <w:rPr>
          <w:rFonts w:ascii="Times New Roman" w:cs="Times New Roman" w:eastAsia="Times New Roman" w:hAnsi="Times New Roman"/>
          <w:sz w:val="18"/>
          <w:szCs w:val="18"/>
          <w:color w:val="auto"/>
        </w:rPr>
        <w:t>” means the engagement letter, dated as of the Closing Date, between the Borrower and the Specified Financial Advisor, as amended, restated, supplemented or otherwise modified from time to time.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 all indebtedness of such Person for borrowed money or for the deferred purchase price of property payment for which is deferred 6 months or more, but excluding obligations to trade creditors incurred in the ordinary course of business that are not overdue by more than 6 months unless being contested in good faith, (b) all reimbursement and other obligations with respect to letters of credit, bankers’ acceptances and surety bonds, whether or not matured, (c) all obligations evidenced by notes, bonds, debentures or similar instruments,</w:t>
      </w:r>
    </w:p>
    <w:p>
      <w:pPr>
        <w:spacing w:after="0" w:line="3" w:lineRule="exact"/>
        <w:rPr>
          <w:sz w:val="20"/>
          <w:szCs w:val="20"/>
          <w:color w:val="auto"/>
        </w:rPr>
      </w:pPr>
    </w:p>
    <w:p>
      <w:pPr>
        <w:jc w:val="both"/>
        <w:ind w:firstLine="8"/>
        <w:spacing w:after="0" w:line="251" w:lineRule="auto"/>
        <w:tabs>
          <w:tab w:leader="none" w:pos="26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that portion of obligations with respect to Capital Leases which is properly classified as a liability on a balance sheet in conformity with GAAP, (f) all obligations of such Person under commodity purchase or option agreements or other commodity price hedging arrangements, in each case whether contingent or matured, (g) all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 (h) 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and (i) to the extent not otherwise included, any guarantee by and Person of any obligations in clauses (a) through (h) above.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DIP Order</w:t>
      </w:r>
      <w:r>
        <w:rPr>
          <w:rFonts w:ascii="Times New Roman" w:cs="Times New Roman" w:eastAsia="Times New Roman" w:hAnsi="Times New Roman"/>
          <w:sz w:val="18"/>
          <w:szCs w:val="18"/>
          <w:color w:val="auto"/>
        </w:rPr>
        <w:t xml:space="preserve">” means an interim order of the Bankruptcy Court entered in the Chapter 11 Cases authorizing and approving the DIP Facility and the terms of this Agreement and the other DIP Loan Documents,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any modifications thereto approved by the Required Lenders in their reasonable discretion, as the same may be amended, restated, supplemented or otherwise modified from time to time with the express reasonable consent of the Required Lenders in accordance with the terms of such Interim DIP Order.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with respect to any Person, all investments by such Person in other Persons (including Affiliates) in the form of any direct or indirect (a) advance, loan, time deposit or other extensions of credit (other than advances or extensions of credit to customers, suppliers, directors, officers or employees of any Person in the ordinary course of business, and excluding any debt or extension of credit represented by a bank deposit other than a time deposit), (b) capital contribution to (by means of any transfer of cash or other property to others or any payment for property or services for the account or use of others), (c) incurrence of a guarantee of any obligation of, or (d) any purchase or acquisition of shares, other equity interests, indebtedness or other similar instruments issued by, in each case, such other Persons and all other items that are or would be classified as investments on a balance sheet prepared in accordance with GAAP,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endorsements of negotiable instruments and documents in the ordinary course of business will not be deemed to be an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assets or property, (a) any mortgage, deed of trust, trust, deemed trust (statutory or otherwise), lien (statutory or otherwise), pledge, encumbrance, claim, charge, assignment, hypothecation, security interest or encumbrance of any kind or any filing of any financing statement under the UCC or any other similar notice of Lien under any similar notice or recording statute of any Governmental Authority, including any easement, right-of-way or other encumbrance on title to real property, in each of the foregoing cases whether voluntary or imposed by law, and any agreement to give any of the foregoing, (b) the interest of a vendor or a lessor under any conditional sale agreement, capital lease or title retention agreement (or any financing lease having substantially the same economic effect as any of the foregoing) relating to such Property and (c) in the case of securities, any purchase option, call or similar right of a third party with respect to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operating lease or an agreement to sell entered into by a Loan Party as lessee or seller, as applicable, in the ordinary course of business shall not, in and of itself, as applicable, be deemed to constitute a Lien on such Loan Party’s interest in the leased or sold property, as applicable, solely by reason of such Loan Party being a lessee or seller, as applicable, thereunder;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purchase and sale agreement entered into in connection with an Acceptable Sale Transaction pursuant to an Acceptable Sale Process shall not in and of itself be deemed to constitute a Lien on the assets subject to such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Need</w:t>
      </w:r>
      <w:r>
        <w:rPr>
          <w:rFonts w:ascii="Times New Roman" w:cs="Times New Roman" w:eastAsia="Times New Roman" w:hAnsi="Times New Roman"/>
          <w:sz w:val="18"/>
          <w:szCs w:val="18"/>
          <w:color w:val="auto"/>
        </w:rPr>
        <w:t>” shall occur at any time that the available cash on hand, calculated on a consolidated basis for all Loan Parties, is less than $5,000,000, taking into account the forecasted disbursements through the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(a) each FBG DIP Loan Party and (b) each Twin DIP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Agreements</w:t>
      </w:r>
      <w:r>
        <w:rPr>
          <w:rFonts w:ascii="Times New Roman" w:cs="Times New Roman" w:eastAsia="Times New Roman" w:hAnsi="Times New Roman"/>
          <w:sz w:val="18"/>
          <w:szCs w:val="18"/>
          <w:color w:val="auto"/>
        </w:rPr>
        <w:t>” has the meaning provided in the Interim DIP Order.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provided in Regulation U of the Board of Governors of the Federal Reserve System as from time to time in effect and any successor to all or a portion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on, the operations, business, assets, properties, liabilities (actual or contingent), or financial condition of any of the Loan Parties, taken as a whole (other than as customarily occurs as a result of events leading up to and following the commencement of a proceeding under chapter 11 of the Bankruptcy Code and the commencement of the Chapter 11 Cases); (b) a material impairment of the rights and remedies of the Secured Parties under any DIP Loan Document, or of the ability of any Loan Party to perform its obligations under any DIP Loan Document to which it is a party; or (c) a material adverse effect upon the legality, validity, binding effect or enforceability against any Loan Party of any DIP Loan Document to which any of them is a party, other than in accordance with its terms. For the avoidance of doubt, a “Material Adverse Effect” shall not be deemed to exist as a result of the Effect of Bankruptcy or the Chapter 11 Cases or the events leading up to and resulting therefrom.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earliest of: (a) May 8,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may be extended with the written consent of the Required Lenders, (b) the date of acceleration of the Loans or termination of the commitments following an Event of Default pursuant to the terms hereof pursuant to Section 6 or otherwise, (c) 11:59 p.m. prevailing Eastern Time on April 10, 2026 if the Bankruptcy Court has not entered the Final DIP Order, (d) the date the Bankruptcy Court indicates or specifies that it will not approve the Final DIP Order or otherwise denies approval of the Final Order, (e) the effective date of a chapter 11 plan in the Chapter 11 Case, which is confirmed by an order of the Bankruptcy Court, and (f) the closing of an Acceptable Sale Transaction.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has the meaning provided in Section 5(e).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Segregated Account Withdrawal Limit</w:t>
      </w:r>
      <w:r>
        <w:rPr>
          <w:rFonts w:ascii="Times New Roman" w:cs="Times New Roman" w:eastAsia="Times New Roman" w:hAnsi="Times New Roman"/>
          <w:sz w:val="18"/>
          <w:szCs w:val="18"/>
          <w:color w:val="auto"/>
        </w:rPr>
        <w:t>” means, with respect to any calendar month, an amount equal to (i) the aggregate disbursements projected for such calendar month for the applicable Loan Parties, as set forth in the Approved Budget then in effect, plus (ii) the maximum additional amount permitted under the applicable Permitted Variance thresholds set forth in Section 5(b) for such calendar month; provided that the Monthly Segregated Account Withdrawal Limit for any calendar month shall be reduced, on a dollar-for-dollar basis, by the sum of (x) Drawn Excess Amount, if any, calculated with respect to the immediately preceding calendar month plus (y) any remaining unused Drawn Excess Amount from any prior calendar month plus (z) the available cash on hand, calculated on a consolidated basis for all Loan Parties, at such time in excess of $5,000,000 (in the case of each of the foregoing clauses (x), (y) and (z), without duplication).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Money Term Loans</w:t>
      </w:r>
      <w:r>
        <w:rPr>
          <w:rFonts w:ascii="Times New Roman" w:cs="Times New Roman" w:eastAsia="Times New Roman" w:hAnsi="Times New Roman"/>
          <w:sz w:val="18"/>
          <w:szCs w:val="18"/>
          <w:color w:val="auto"/>
        </w:rPr>
        <w:t>” means, collectively, (a) the FBG New Money Term Loans and (b) the Twin New Money Term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provided in Section 2(d),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changes as approved by the Required Lenders in their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(a) the FBG DIP Obligations and (b) the Twin DIP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DIP Loan Document, except any such Taxes that are imposed on a Recipient as a result of its present or former connection to the applicable taxing jurisdiction (other than such Recipient’s connections with such taxing jurisdiction arising from, out of or with respect to any DIP Loan Documents or any transactions therein) with respect to an assignment (other than an assignment made pursuant to a request by any Borrower).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has the meaning provided in Section 8(l).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Dispositions</w:t>
      </w:r>
      <w:r>
        <w:rPr>
          <w:rFonts w:ascii="Times New Roman" w:cs="Times New Roman" w:eastAsia="Times New Roman" w:hAnsi="Times New Roman"/>
          <w:sz w:val="18"/>
          <w:szCs w:val="18"/>
          <w:color w:val="auto"/>
        </w:rPr>
        <w:t>” means: (a) sale of any furniture, fixture, equipment or inventory that is no longer used or useful in the business of the Loan Parties or their Subsidiaries in the ordinary course of business and as approved by the CRO, (b) sale of inventory or scrap in the ordinary course of business and as approved by the CRO, (c) the granting of Permitted Liens, (d) the leasing or subleasing of assets of any Loan Party or its Subsidiaries in the ordinary course of business and as approved by the CRO, (e) the making of Permitted Investments, (f) Dispositions in the ordinary course of business of cash or cash equivalents, (g) Dispositions pursuant to casualty events, (h) Dispositions in connection with an Acceptable Sale Transaction or pursuant to an Acceptable Sale Process (or any related motions) or the Bidding Procedures Motion, and (i) Disposition of assets (other than transfer or sales of its own capital stock) by (i) any Loan Party to any other Loan Party, (ii) any Loan Party to any other Subsidiary of a Loan Party that is not a Loan Party in the ordinary course of business and as approved by the CRO for a valid business purposes and (iii) any Subsidiary of a Loan Party that is not a Loan Party to a Loan Party.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xml:space="preserve">” means: (a) Indebtedness under this Agreement; (b) Indebtedness under the Prepetition Notes; (c) other Indebtedness to third parties that are not Affiliates of any Debtors or the Loan Parties outstanding on the date hereof and set forth on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(d) Refinancing Indebtedness secured by purchase money security interests or Capital Leases existing as of the date hereof, (e) </w:t>
      </w:r>
      <w:r>
        <w:rPr>
          <w:rFonts w:ascii="Times New Roman" w:cs="Times New Roman" w:eastAsia="Times New Roman" w:hAnsi="Times New Roman"/>
          <w:sz w:val="18"/>
          <w:szCs w:val="18"/>
          <w:u w:val="single" w:color="auto"/>
          <w:color w:val="auto"/>
        </w:rPr>
        <w:t>Permitted Intercompany Advances</w:t>
      </w:r>
      <w:r>
        <w:rPr>
          <w:rFonts w:ascii="Times New Roman" w:cs="Times New Roman" w:eastAsia="Times New Roman" w:hAnsi="Times New Roman"/>
          <w:sz w:val="18"/>
          <w:szCs w:val="18"/>
          <w:color w:val="auto"/>
        </w:rPr>
        <w:t>, (f) endorsement of instruments or other payment items for deposit in the ordinary course of business, (g) Indebtedness incurred in respect of bank products (other than pursuant to hedge agreements) in the ordinary course of business, including netting services, automatic clearinghouse arrangements, overdraft protections and other cash management arrangements, (h) Indebtedness assumed in connection with a Permitted Investments, (i) Indebtedness consisting of unsecured guarantees incurred in the ordinary course of business with respect to surety and appeal bonds, performance bonds, bid bonds, appeal bonds, completion guarantee and similar obligations, (j) [reserved], (k) other unsecured Indebtedness incurred in the ordinary course of business in an aggregate principal amount not to exceed $50,000 at any time outstanding and (l) 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Advances</w:t>
      </w:r>
      <w:r>
        <w:rPr>
          <w:rFonts w:ascii="Times New Roman" w:cs="Times New Roman" w:eastAsia="Times New Roman" w:hAnsi="Times New Roman"/>
          <w:sz w:val="18"/>
          <w:szCs w:val="18"/>
          <w:color w:val="auto"/>
        </w:rPr>
        <w:t xml:space="preserve">” means intercompany loans made after the Petition Date and as approved by the CRO by (a) a Loan Party to another Loan Party, (b) a Subsidiary of a Loan Party which is not a Loan Party to another Subsidiary of a Loan Party which is not a Loan Party, (c) a Loan Party to any Subsidiary of a Loan Party which is not a Loan Party so long as any such loans are made for a valid and bona fide business purpose and in conformance with the Approved Budget and (d) a Subsidiary of a Loan Party which is not a Loan Party to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loans made pursuant to clause (d) must be subject to a customary intercompany subordination agreement satisfactory to the Required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xml:space="preserve">” means (a) any Investment existing on the date hereof and set forth on </w:t>
      </w:r>
      <w:r>
        <w:rPr>
          <w:rFonts w:ascii="Times New Roman" w:cs="Times New Roman" w:eastAsia="Times New Roman" w:hAnsi="Times New Roman"/>
          <w:sz w:val="18"/>
          <w:szCs w:val="18"/>
          <w:u w:val="single" w:color="auto"/>
          <w:color w:val="auto"/>
        </w:rPr>
        <w:t>Schedule 1B</w:t>
      </w:r>
      <w:r>
        <w:rPr>
          <w:rFonts w:ascii="Times New Roman" w:cs="Times New Roman" w:eastAsia="Times New Roman" w:hAnsi="Times New Roman"/>
          <w:sz w:val="18"/>
          <w:szCs w:val="18"/>
          <w:color w:val="auto"/>
        </w:rPr>
        <w:t xml:space="preserve"> and other Investments permitted by a First Day Order, (b) Investments consisting of Permitted Intercompany Advances, (c) Investments in cash and cash equivalents, (d) Investments in negotiable instruments deposited or to be deposited for collection in the ordinary course of business, (e) advances made in connection with purchases of goods or services in the ordinary course of business, (f) Investments resulting from entering into agreements relative to Indebtedness that is permitted under clauses (g) and (i) of the definition of Permitted Indebtedness, (h) 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 and (i) deposits of cash made in the ordinary course of business to secure performance of operating leases or other contractual obligations entered into in the ordinary course of business; provided that the aggregate amount of all such cash deposits made pursuant to this clause (i) in respect of obligations shall not exceed $100,000 at any time outstanding.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purchase-money security interests in specific items of equipment securing Permitted Indebtedness described under clause (d) of the definition of Permitted Indebtedness, (b) liens for taxes, fees, assessments, or other governmental charges or levies, either not delinquent or being contested in good faith by appropriate proceedings (which proceedings have the effect of preventing the enforcement of such lien) for which adequate reserves in accordance with GAAP are being maintained, (c) the DIP Liens, (d) liens which constitute banker’s liens, rights of set-off, or similar rights as to deposit accounts or other funds maintained with a bank or other financial institution (but only to the extent such banker’s liens, rights of set-off or other rights are in respect of customary service charges relative to such deposit accounts and other funds, and not in respect of any loans or other extensions of credit by such bank or other financial institution to any Loan Party), (e) Liens securing the Prepetition Notes, (f) judgment Liens in respect of judgments that do not constitute an Event of Default so long as such judgments are stayed during the pendency of the Bankruptcy Cases, and (g) adequate protection liens granted to the Prepetition Noteholders pursuant to the DIP Order.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Prior Lien</w:t>
      </w:r>
      <w:r>
        <w:rPr>
          <w:rFonts w:ascii="Times New Roman" w:cs="Times New Roman" w:eastAsia="Times New Roman" w:hAnsi="Times New Roman"/>
          <w:sz w:val="18"/>
          <w:szCs w:val="18"/>
          <w:color w:val="auto"/>
        </w:rPr>
        <w:t>” has the meaning provided in the DIP Order.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DebtX or a substantially similar electronic transmission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Class A-2 Notes</w:t>
      </w:r>
      <w:r>
        <w:rPr>
          <w:rFonts w:ascii="Times New Roman" w:cs="Times New Roman" w:eastAsia="Times New Roman" w:hAnsi="Times New Roman"/>
          <w:sz w:val="18"/>
          <w:szCs w:val="18"/>
          <w:color w:val="auto"/>
        </w:rPr>
        <w:t>” means, collectively, the FBG Class A-2 Prepetition Notes and the Twin Prepetition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Class A-2 Secured Obligations</w:t>
      </w:r>
      <w:r>
        <w:rPr>
          <w:rFonts w:ascii="Times New Roman" w:cs="Times New Roman" w:eastAsia="Times New Roman" w:hAnsi="Times New Roman"/>
          <w:sz w:val="18"/>
          <w:szCs w:val="18"/>
          <w:color w:val="auto"/>
        </w:rPr>
        <w:t>” means, collectively, the FBG Class A-2 Prepetition Secured Obligations and the Twin Class A-2 Prepetition Secured Obligations.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Indentures</w:t>
      </w:r>
      <w:r>
        <w:rPr>
          <w:rFonts w:ascii="Times New Roman" w:cs="Times New Roman" w:eastAsia="Times New Roman" w:hAnsi="Times New Roman"/>
          <w:sz w:val="18"/>
          <w:szCs w:val="18"/>
          <w:color w:val="auto"/>
        </w:rPr>
        <w:t>” means, collectively, the FBG Prepetition Indentures and the Twin Prepetition Indenture, in each case as amended, restated, amended and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Noteholders</w:t>
      </w:r>
      <w:r>
        <w:rPr>
          <w:rFonts w:ascii="Times New Roman" w:cs="Times New Roman" w:eastAsia="Times New Roman" w:hAnsi="Times New Roman"/>
          <w:sz w:val="18"/>
          <w:szCs w:val="18"/>
          <w:color w:val="auto"/>
        </w:rPr>
        <w:t>” means, collectively, the FBG Noteholders and the Twin Noteholders.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 means, collectively, the FBG Prepetition Notes and the Twin Prepetition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 Documents</w:t>
      </w:r>
      <w:r>
        <w:rPr>
          <w:rFonts w:ascii="Times New Roman" w:cs="Times New Roman" w:eastAsia="Times New Roman" w:hAnsi="Times New Roman"/>
          <w:sz w:val="18"/>
          <w:szCs w:val="18"/>
          <w:color w:val="auto"/>
        </w:rPr>
        <w:t>” means, collectively, the FBG Prepetition Notes Documents and the Twin Prepetition Notes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Obligations</w:t>
      </w:r>
      <w:r>
        <w:rPr>
          <w:rFonts w:ascii="Times New Roman" w:cs="Times New Roman" w:eastAsia="Times New Roman" w:hAnsi="Times New Roman"/>
          <w:sz w:val="18"/>
          <w:szCs w:val="18"/>
          <w:color w:val="auto"/>
        </w:rPr>
        <w:t>” means, collectively, the FBG Prepetition Secured Obligations and the Twin Prepetition Secured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Parties</w:t>
      </w:r>
      <w:r>
        <w:rPr>
          <w:rFonts w:ascii="Times New Roman" w:cs="Times New Roman" w:eastAsia="Times New Roman" w:hAnsi="Times New Roman"/>
          <w:sz w:val="18"/>
          <w:szCs w:val="18"/>
          <w:color w:val="auto"/>
        </w:rPr>
        <w:t>” means, collectively, the Prepetition Noteholders and the indenture trustees under the Prepetition Indentures.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as to each DIP Lender, the ratio, expressed as a percentage of (a) (i) the amount of such DIP Lender’s Commitments plus</w:t>
      </w:r>
    </w:p>
    <w:p>
      <w:pPr>
        <w:spacing w:after="0" w:line="27" w:lineRule="exact"/>
        <w:rPr>
          <w:sz w:val="20"/>
          <w:szCs w:val="20"/>
          <w:color w:val="auto"/>
        </w:rPr>
      </w:pPr>
    </w:p>
    <w:p>
      <w:pPr>
        <w:jc w:val="both"/>
        <w:ind w:firstLine="8"/>
        <w:spacing w:after="0" w:line="252" w:lineRule="auto"/>
        <w:tabs>
          <w:tab w:leader="none" w:pos="27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such DIP Lender’s outstanding DIP Loan to (b) (i) the aggregate amount of the Commitments of all DIP Lenders plus (ii) the aggregate amount of all outstanding DIP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determination the Commitments have terminated or been reduced to zero, the “Pro Rata Share” of each DIP Lender shall be the ratio, expressed as a percentage of (A) the sum of the unpaid principal amount of all outstanding DIP Loans owing to such DIP Lender as of such date to (B) the sum of the aggregate unpaid principal amount of all outstanding DIP Loans of all DIP Lenders as of such date. If at the time of determination the Commitments have terminated and there are no outstanding DIP Loans, then the Pro Rata Shares of the DIP Lenders shall be determined as of the most recent date on which Commitments were in effect or DIP Loans were outstanding.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DIP Agent and the DIP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means refinancings, renewals, or extensions of Indebtedness so long as:</w:t>
      </w:r>
    </w:p>
    <w:p>
      <w:pPr>
        <w:spacing w:after="0" w:line="225" w:lineRule="exact"/>
        <w:rPr>
          <w:sz w:val="20"/>
          <w:szCs w:val="20"/>
          <w:color w:val="auto"/>
        </w:rPr>
      </w:pPr>
    </w:p>
    <w:p>
      <w:pPr>
        <w:jc w:val="both"/>
        <w:ind w:right="20" w:firstLine="1304"/>
        <w:spacing w:after="0" w:line="266" w:lineRule="auto"/>
        <w:tabs>
          <w:tab w:leader="none" w:pos="15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refinancings, renewals, or extensions do not result in an increase in the principal amount of the Indebtedness so refinanced, renewed, or extended, other than by the amount of premiums paid thereon and the accrued interest, fees and expenses incurred in connection therewith and by the amount of unfunded commitments with respect thereto,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DIP Lenders (or such other terms as are reasonably consented to by the Required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that is refinanced, renewed, or extended was contractually subordinated in right of payment to the Obligations, then the terms and conditions of the refinancing, renewal, or extension must include contractual subordination terms and conditions that are at least as favorable to the DIP Lenders as those that were applicable to the refinanced, renewed, or extended Indebtedness,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that is refinanced, renewed, or extended was unsecured, then the refinancing, renewal, or extension of such Indebtedness must be unsecured,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ind w:firstLine="1304"/>
        <w:spacing w:after="0" w:line="282" w:lineRule="auto"/>
        <w:tabs>
          <w:tab w:leader="none" w:pos="15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shareholders, directors, officers, employees, agents, counsel,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employees, agents, representatives and financing sources, and any investment banker, financial advisor, consultant, accountant, legal counsel, agent, representative or expert retained by or acting on behalf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and all requirements of any Governmental Authority applicable to such Person having the force of law, including any and all laws, judgments, orders, decrees, ordinances, rules, regulations, statutes or case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FBG Lenders</w:t>
      </w:r>
      <w:r>
        <w:rPr>
          <w:rFonts w:ascii="Times New Roman" w:cs="Times New Roman" w:eastAsia="Times New Roman" w:hAnsi="Times New Roman"/>
          <w:sz w:val="18"/>
          <w:szCs w:val="18"/>
          <w:color w:val="auto"/>
        </w:rPr>
        <w:t>” means, as of any date of determination, with respect to the FBG DIP Facility, the DIP Lenders having more than 50% of the aggregate principal amount of all outstanding DIP Loans under the FBG DIP Facility and the unused Commitments at such time with respect to the FBG DIP Facility.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as of any date of determination, the DIP Lenders holding more than 50% of the aggregate principal amount of all outstanding DIP Loans and unused Commitments at such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Twin Lenders</w:t>
      </w:r>
      <w:r>
        <w:rPr>
          <w:rFonts w:ascii="Times New Roman" w:cs="Times New Roman" w:eastAsia="Times New Roman" w:hAnsi="Times New Roman"/>
          <w:sz w:val="18"/>
          <w:szCs w:val="18"/>
          <w:color w:val="auto"/>
        </w:rPr>
        <w:t>” means, as of any date of determination, with respect to the Twin DIP Facility, the DIP Lenders having more than 50% of the aggregate principal amount of all outstanding DIP Loans under the Twin DIP Facility and the unused Commitments at such time with respect to the Twin DIP Facility; provided that, solely for purposes of determining the resolution of the Twin Roll-Up Reservation, “Required Twin Lenders” shall mean both (x) the Twin DIP Lenders having at least 66 2/3% of the aggregate principal amount of all outstanding Roll-Up Loans under the Twin Senior Roll-Up Financing and (y) the Twin DIP Lenders having at least 66 2/3% of the aggregate principal amount of all outstanding Roll-Up Loans under the Twin Junior Roll-Up Financing, each class voting separately and independently.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any dividend or other distribution (whether in cash, securities or other property) with respect to any equity interest of any Loan Party or any Subsidiary thereof, or any payment (whether in cash, securities or other property), including any sinking fund or similar deposit, on account of the purchase, redemption, retirement, defeasance, acquisition, cancellation or termination of any such equity interest, or on account of any return of capital to any Loan Party’s or any respective Subsidiary’s stockholders, partners or members (or the equivalent Persons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none of the following shall be deemed to result in, or be considered, a Restricted Payment: (a) any Permitted Investment and (b) Permitted Intercompany Advances and payments in connection with performance of the Management Agreements, approved by the CRO, and authorized pursuant to the Approved Budget.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Effective Time</w:t>
      </w:r>
      <w:r>
        <w:rPr>
          <w:rFonts w:ascii="Times New Roman" w:cs="Times New Roman" w:eastAsia="Times New Roman" w:hAnsi="Times New Roman"/>
          <w:sz w:val="18"/>
          <w:szCs w:val="18"/>
          <w:color w:val="auto"/>
        </w:rPr>
        <w:t>” means, with respect to any Borrowing of New Money Term Loans, as applicable, the moment immediately following the funding of such Borrowing to the applicable Borrower(s) in accordance with Section 2(e).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Financing</w:t>
      </w:r>
      <w:r>
        <w:rPr>
          <w:rFonts w:ascii="Times New Roman" w:cs="Times New Roman" w:eastAsia="Times New Roman" w:hAnsi="Times New Roman"/>
          <w:sz w:val="18"/>
          <w:szCs w:val="18"/>
          <w:color w:val="auto"/>
        </w:rPr>
        <w:t>” means collectively the FBG Roll-Up Financing and the Twin Roll-Up Financing.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Loan Amount</w:t>
      </w:r>
      <w:r>
        <w:rPr>
          <w:rFonts w:ascii="Times New Roman" w:cs="Times New Roman" w:eastAsia="Times New Roman" w:hAnsi="Times New Roman"/>
          <w:sz w:val="18"/>
          <w:szCs w:val="18"/>
          <w:color w:val="auto"/>
        </w:rPr>
        <w:t xml:space="preserve">” means the amount of the Roll-Up Loans allocated to each DIP Lender as set forth opposite such DIP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under the heading “Maximum Roll-Up Loan Amount.”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has the meaning assigned thereto in Section 2(f).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a Final Order, in form and substance reasonably acceptable to the Required Lenders, authorizing an Acceptable Sale Transaction consistent with the Bidding Procedures and the Bidding Procedures Order.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(a) the FBG Secured Parties; and (b) the Twin Secured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Segregated Accounts</w:t>
      </w:r>
      <w:r>
        <w:rPr>
          <w:rFonts w:ascii="Times New Roman" w:cs="Times New Roman" w:eastAsia="Times New Roman" w:hAnsi="Times New Roman"/>
          <w:sz w:val="18"/>
          <w:szCs w:val="18"/>
          <w:color w:val="auto"/>
        </w:rPr>
        <w:t>” has the meaning provided in Section 2(c).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Segregated Account Control Agreement</w:t>
      </w:r>
      <w:r>
        <w:rPr>
          <w:rFonts w:ascii="Times New Roman" w:cs="Times New Roman" w:eastAsia="Times New Roman" w:hAnsi="Times New Roman"/>
          <w:sz w:val="18"/>
          <w:szCs w:val="18"/>
          <w:color w:val="auto"/>
        </w:rPr>
        <w:t>” means a “springing” deposit account control agreement substantially in a form reasonably acceptable to the Required Lenders, the DIP Agent (with respect to the rights, obligations, liabilities and immunities of the DIP Agent thereunder) and the relevant Borrower to be effective on the Closing Date (or at such time permitted by Schedule 5(c)) and delivered to the DIP Agent (to be executed by the DIP Agent at the written direction of the Required Lenders).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means the special committee of the boards of directors of each Loan Party, composed solely of Neal Goldman and Patrick Bartels, which is delegated complete and exclusive decision-making authority with respect to the Loan Parties’ restructuring, the implementation of any restructuring transactions, and the conduct of the Chapter 11 Cases pursuant to the Governance Protocol.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Financial Advisor</w:t>
      </w:r>
      <w:r>
        <w:rPr>
          <w:rFonts w:ascii="Times New Roman" w:cs="Times New Roman" w:eastAsia="Times New Roman" w:hAnsi="Times New Roman"/>
          <w:sz w:val="18"/>
          <w:szCs w:val="18"/>
          <w:color w:val="auto"/>
        </w:rPr>
        <w:t>” Houlihan Lokey Capital, Inc., as financial advisor and investment banker to the Ad Hoc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Stipulated Allocation</w:t>
      </w:r>
      <w:r>
        <w:rPr>
          <w:rFonts w:ascii="Times New Roman" w:cs="Times New Roman" w:eastAsia="Times New Roman" w:hAnsi="Times New Roman"/>
          <w:sz w:val="18"/>
          <w:szCs w:val="18"/>
          <w:color w:val="auto"/>
        </w:rPr>
        <w:t>” shall mean the allocation of estate professional fees as set forth in Schedule 4(a).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or other entity in which that Person directly or indirectly owns or controls the shares of capital stock having ordinary voting power to elect a majority of the board of directors (or appoint other comparable managers) of such corporation, partnership, limited liability company, or other entity.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Procedures</w:t>
      </w:r>
      <w:r>
        <w:rPr>
          <w:rFonts w:ascii="Times New Roman" w:cs="Times New Roman" w:eastAsia="Times New Roman" w:hAnsi="Times New Roman"/>
          <w:sz w:val="18"/>
          <w:szCs w:val="18"/>
          <w:color w:val="auto"/>
        </w:rPr>
        <w:t>” means the syndication procedures in connection with the DIP Facility, agreed to on or about the date hereof, among the Borrowers and the Ad Hoc Group (and reasonably acceptable, as to their respective rights and obligations, to the DIP Agent, the FBG Prepetition Notes Trustee and the Twin Prepetition Notes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provided in Section 8(c).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Adequate Protection Liens</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Backstop Fee</w:t>
      </w:r>
      <w:r>
        <w:rPr>
          <w:rFonts w:ascii="Times New Roman" w:cs="Times New Roman" w:eastAsia="Times New Roman" w:hAnsi="Times New Roman"/>
          <w:sz w:val="18"/>
          <w:szCs w:val="18"/>
          <w:color w:val="auto"/>
        </w:rPr>
        <w:t>” means has the meaning provided in Section 2(h)(v)(B).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Backstop Parties</w:t>
      </w:r>
      <w:r>
        <w:rPr>
          <w:rFonts w:ascii="Times New Roman" w:cs="Times New Roman" w:eastAsia="Times New Roman" w:hAnsi="Times New Roman"/>
          <w:sz w:val="18"/>
          <w:szCs w:val="18"/>
          <w:color w:val="auto"/>
        </w:rPr>
        <w:t>” means those certain DIP Lenders that backstop the Twin New Money Term Loans, which as of the Closing Date are all Twin DIP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Class A-2 Prepetition Secured Obligations</w:t>
      </w:r>
      <w:r>
        <w:rPr>
          <w:rFonts w:ascii="Times New Roman" w:cs="Times New Roman" w:eastAsia="Times New Roman" w:hAnsi="Times New Roman"/>
          <w:sz w:val="18"/>
          <w:szCs w:val="18"/>
          <w:color w:val="auto"/>
        </w:rPr>
        <w:t>” means all obligations of every nature in connection with the Twin Prepetition Notes under the Twin Prepetition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Commitments</w:t>
      </w:r>
      <w:r>
        <w:rPr>
          <w:rFonts w:ascii="Times New Roman" w:cs="Times New Roman" w:eastAsia="Times New Roman" w:hAnsi="Times New Roman"/>
          <w:sz w:val="18"/>
          <w:szCs w:val="18"/>
          <w:color w:val="auto"/>
        </w:rPr>
        <w:t xml:space="preserve">” means, as to the Twin DIP Lender, such Twin DIP Lender’s obligation to make a DIP Loan pursuant to Section 2, in an amount up to, but not exceeding, the amount set forth for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Lender’s “Twin New Money Term Facility”, as such amount may be adjusted from time to time in accordance with the terms hereof (including as necessary to reflect any repayments, prepayments, or commitment reductions) or reduced or increased from time to time pursuant assignments by or to such Twin DIP Lender pursuant to Section 8(d) and as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may be amended from time to time to reflect such assignments.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Borrower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Collateral</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Guarantors</w:t>
      </w:r>
      <w:r>
        <w:rPr>
          <w:rFonts w:ascii="Times New Roman" w:cs="Times New Roman" w:eastAsia="Times New Roman" w:hAnsi="Times New Roman"/>
          <w:sz w:val="18"/>
          <w:szCs w:val="18"/>
          <w:color w:val="auto"/>
        </w:rPr>
        <w:t>” means, collectively, (a) the Parent; (b) the Twin Manager; (c) each Twin Subsidiary Guarantor; and (d) each entity designated as a “Guarantor” or “Additional Guarantor” under the Twin Prepetition Notes Documents. Notwithstanding the foregoing, and notwithstanding anything to the contrary in this Agreement, SEEDS OF COMPASSION FUND, INC. shall not be a Twin DIP Guarantor hereunder and shall not have any of the obligations of a Twin DIP Guarantor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Lender</w:t>
      </w:r>
      <w:r>
        <w:rPr>
          <w:rFonts w:ascii="Times New Roman" w:cs="Times New Roman" w:eastAsia="Times New Roman" w:hAnsi="Times New Roman"/>
          <w:sz w:val="18"/>
          <w:szCs w:val="18"/>
          <w:color w:val="auto"/>
        </w:rPr>
        <w:t>” means each financial institution from time to time party hereto as a “Twin DIP Lender,” together with its respective successors and permitted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Lien</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Loan Party</w:t>
      </w:r>
      <w:r>
        <w:rPr>
          <w:rFonts w:ascii="Times New Roman" w:cs="Times New Roman" w:eastAsia="Times New Roman" w:hAnsi="Times New Roman"/>
          <w:sz w:val="18"/>
          <w:szCs w:val="18"/>
          <w:color w:val="auto"/>
        </w:rPr>
        <w:t>” means the Twin DIP Borrower and each Twin DIP Guarantor.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Obligations</w:t>
      </w:r>
      <w:r>
        <w:rPr>
          <w:rFonts w:ascii="Times New Roman" w:cs="Times New Roman" w:eastAsia="Times New Roman" w:hAnsi="Times New Roman"/>
          <w:sz w:val="18"/>
          <w:szCs w:val="18"/>
          <w:color w:val="auto"/>
        </w:rPr>
        <w:t>” means all obligations of every nature of the Twin DIP Borrower and each other Twin DIP Loan Party under this Agreement and the other applicable DIP Loan Documents, including, without limitation, any liability of such Twin DIP Loan Party on any claim, whether or not the right to payment in respect of such claim is reduced to judgment, liquidated, unliquidated, fixed or contingent, matured, disputed, undisputed, legal, equitable, secured or unsecured, and whether or not such claim is discharged, stayed or otherwise affected by any bankruptcy, insolvency, reorganization or other similar proceeding. Without limiting the generality of the foregoing, the Twin DIP Obligations of the Twin DIP Loan Parties under this Agreement include (a) the obligation to pay principal, interest, charges, expenses, fees, attorneys’ fees and disbursements, indemnities and other amounts payable by the Twin DIP Borrower under any DIP Loan Document and (b) the obligation to reimburse any amount in respect of any of the foregoing that the Twin DIP Lender, in its sole discretion, may elect to pay or advance on behalf of any Twin DIP Loan Party.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Guaranty</w:t>
      </w:r>
      <w:r>
        <w:rPr>
          <w:rFonts w:ascii="Times New Roman" w:cs="Times New Roman" w:eastAsia="Times New Roman" w:hAnsi="Times New Roman"/>
          <w:sz w:val="18"/>
          <w:szCs w:val="18"/>
          <w:color w:val="auto"/>
        </w:rPr>
        <w:t xml:space="preserve">” means the Parent and Subsidiary Guaranty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and delivered by the Twin DIP Guarantors on the Closing Date, together with each joinder agreement and supplement executed and delivered in connection therewith, as the same may be amended, restated,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Noteholders</w:t>
      </w:r>
      <w:r>
        <w:rPr>
          <w:rFonts w:ascii="Times New Roman" w:cs="Times New Roman" w:eastAsia="Times New Roman" w:hAnsi="Times New Roman"/>
          <w:sz w:val="18"/>
          <w:szCs w:val="18"/>
          <w:color w:val="auto"/>
        </w:rPr>
        <w:t>” means the holders of the Twin Prepetition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Roll-Up Reservation</w:t>
      </w:r>
      <w:r>
        <w:rPr>
          <w:rFonts w:ascii="Times New Roman" w:cs="Times New Roman" w:eastAsia="Times New Roman" w:hAnsi="Times New Roman"/>
          <w:sz w:val="18"/>
          <w:szCs w:val="18"/>
          <w:color w:val="auto"/>
        </w:rPr>
        <w:t>” shall have the meaning set forth in the DIP Order.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Secured Parties</w:t>
      </w:r>
      <w:r>
        <w:rPr>
          <w:rFonts w:ascii="Times New Roman" w:cs="Times New Roman" w:eastAsia="Times New Roman" w:hAnsi="Times New Roman"/>
          <w:sz w:val="18"/>
          <w:szCs w:val="18"/>
          <w:color w:val="auto"/>
        </w:rPr>
        <w:t>” means, collectively, the DIP Agent, the Twin DIP Lenders, and each co-agent or sub-agent appointed by the DIP Agent from time to time pursuant to the terms of this Agreement, any other holder from time to time of any Twin DIP Obligations and, in each case, their respective successors and permitted assigns.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has the meaning provided in Section 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Subsidiary Guarantor</w:t>
      </w:r>
      <w:r>
        <w:rPr>
          <w:rFonts w:ascii="Times New Roman" w:cs="Times New Roman" w:eastAsia="Times New Roman" w:hAnsi="Times New Roman"/>
          <w:sz w:val="18"/>
          <w:szCs w:val="18"/>
          <w:color w:val="auto"/>
        </w:rPr>
        <w:t>” means each Subsidiary of the Twin DIP Borrower.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New York Uniform Commercial Code,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by reason of mandatory provisions of law, any or all of the attachment, perfection, priority, or remedies with respect to the DIP Lender’s Lien on any DIP Collateral is governed by the Uniform Commercial Code as enacted and in effect in a jurisdiction other than the State of New York, the term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enacted and in effect in such other jurisdiction solely for purposes of the provisions thereof relating to such attachment, perfection, priority, or remedies. To the extent that defined terms set forth herein shall have different meanings under different Articles under the Uniform Commercial Code, the meaning assigned to such defined term under Article 9 of the Uniform Commercial Code shall control.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UMB</w:t>
      </w:r>
      <w:r>
        <w:rPr>
          <w:rFonts w:ascii="Times New Roman" w:cs="Times New Roman" w:eastAsia="Times New Roman" w:hAnsi="Times New Roman"/>
          <w:sz w:val="18"/>
          <w:szCs w:val="18"/>
          <w:color w:val="auto"/>
        </w:rPr>
        <w:t>” means UMB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Report</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Report Date</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Testing Period</w:t>
      </w:r>
      <w:r>
        <w:rPr>
          <w:rFonts w:ascii="Times New Roman" w:cs="Times New Roman" w:eastAsia="Times New Roman" w:hAnsi="Times New Roman"/>
          <w:sz w:val="18"/>
          <w:szCs w:val="18"/>
          <w:color w:val="auto"/>
        </w:rPr>
        <w:t>” means, starting the second full week following the entry of the Interim DIP Order, each rolling four-week period ending on each Sunday thereafter.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has the meaning provided in Section 8(c).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The Commitment and Credit Extension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5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and Borrowing</w:t>
      </w:r>
      <w:r>
        <w:rPr>
          <w:rFonts w:ascii="Times New Roman" w:cs="Times New Roman" w:eastAsia="Times New Roman" w:hAnsi="Times New Roman"/>
          <w:sz w:val="18"/>
          <w:szCs w:val="18"/>
          <w:color w:val="auto"/>
        </w:rPr>
        <w:t xml:space="preserve">. Subject to the terms and conditions set forth herein and in the DIP Order, (i) the FBG DIP Lenders agree to make, during the Commitment Period, the FBG New Money Term Loans to the FBG DIP Borrowers (w) on the Closing Date, subject to the satisfaction (or waiver) of the Initial Draw Conditions in an aggregate principal amount not to exceed $28,800,000, (x) on the Second Borrowing Date, subject to the satisfaction (or waiver) of the Second Draw Conditions in an aggregate principal amount not to exceed $1,200,000, and (y) on the Third Borrowing Date, subject to the satisfaction (or waiver) of the Third Draw Conditions in an aggregate principal amount not to exceed $16,140,000; and (ii) the Twin DIP Lenders agree to make, during the Commitment Period, the Twin New Money Term Loans to the Twin DIP Borrowers (w) on the Closing Date, subject to the satisfaction (or waiver) of the Initial Draw Conditions in an aggregate principal amount not to exceed $19,200,000, (x) on the Second Borrowing Date, subject to the satisfaction (or waiver) of the Second Draw Conditions in an aggregate principal amount not to exceed $800,000, and (y) on the Third Borrowing Date, subject to the satisfaction (or waiver) of the Third Draw Conditions in an aggregate principal amount not to exceed $10,760,000;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Borrowing (x) shall be denominated in U.S. Dollars and (y) shall be in an aggregate principal amount that is (I) an integral multiple of $500,000 and not less than $500,000 or (II) if less, equal to the remaining available balance of the applicable Commitment at such time. Amounts repaid under the DIP Facility may not be reborrowed.</w:t>
      </w:r>
    </w:p>
    <w:p>
      <w:pPr>
        <w:spacing w:after="0" w:line="18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Subject to Schedule 5(c), all proceeds of the FBG DIP Facility shall be deposited into a segregated account of the FBG DIP Borrowers maintained at East West Bank (the “</w:t>
      </w: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which will be subject to the FBG DIP Liens on a first priority basis and subject to a Segregated Account Control Agreement in favor of the DIP Agent. The terms of the Segregated Account Control Agreement for the FBG Segregated Account shall permit the FBG DIP Loan Parties to retain full use of the FBG Segregated Account consistent with the Approved Budget, and any restrictions in favor of the DIP Agent under such Segregated Account Control Agreement shall not take effect unless an Event of Default has occurred or is occurring and a “notice of exclusive control” (or similar such term) has been delivered in accordance with the terms of the applicable Segregated Account Control Agreement). On each funding date, the FBG DIP Lenders will advance funds to the DIP Agent and the DIP Agent will, subject to the terms and conditions of this Agreement, disburse such funds to the relevant Segregated Account in accordance with the wire transfer instructions provided in the applicable Notice of Borrowing; provided the DIP Agent shall not have any obligations or liability (x) with respect to the wire instructions for any account set forth in a Notice of Borrowing or (y) to confirm whether the account specified in any Notice of Borrowing is a Segregated Account. Funds in the FBG Segregated Account may be drawn by the FBG DIP Borrowers consistent with the Approved Budget (taking into account any Permitted Variances); provided that, in any calendar month, the aggregate amount withdrawn by the FBG DIP Borrowers from the FBG Segregated Account shall not exceed the Monthly Segregated Account Withdrawal Limit applicable to such calendar month for the FBG DIP Loan Parties (clauses (i) and (ii) of which Monthly Segregated Account Withdrawal Limit, shall, for the avoidance of doubt, be automatically reduced in accordance with the definition thereof, on a dollar-for-dollar basis, by the sum of (x) applicable Drawn Excess Amount, if any, for the immediately preceding calendar month plus (y) any remaining unused Drawn Excess Amount from any prior calendar month plus (z) the available cash on hand, calculated on a consolidated basis for all Loan Parties, at such time in excess of $5,000,000), as determined by reference to the Approved Budget then in effect, without the prior written consent of the Required FBG Lenders or the Specified Financial Advisor. For the avoidance of doubt, in no event shall the DIP Agent have any duty, liability or obligation with respect to the calculation or monitoring of the Monthly Segregated Account Withdrawal Limit or the Drawn Excess Amounts. Once withdrawn from the FBG Segregated Account, the funds shall continue to be FBG DIP Collateral until such funds are first used by the FBG Loan Parties. For the avoidance of doubt, the FBG Segregated Account and all funds deposited therein shall be subject only to (i) the Carve-Out, (ii) the FBG DIP Liens, and (iii) the FBG Adequate Protection Liens, and shall not be subject to any other liens, claims, or interests (including, without limitation, any claims, liens, or interests arising under or related to the Management Agreements). The proceeds of the FBG New Money Term Loans shall be used only to pay the obligations of the FBG DIP Loan Parties, subject to the Stipulated Allocation.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jc w:val="both"/>
        <w:ind w:firstLine="1304"/>
        <w:spacing w:after="0" w:line="251" w:lineRule="auto"/>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Subject to Schedule 5(c), all proceeds of the Twin DIP Facility shall be deposited into a segregated account of the Twin DIP Borrower maintained at East West Bank (the “</w:t>
      </w: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and, together with the FBG Segregated Account, the “</w:t>
      </w:r>
      <w:r>
        <w:rPr>
          <w:rFonts w:ascii="Times New Roman" w:cs="Times New Roman" w:eastAsia="Times New Roman" w:hAnsi="Times New Roman"/>
          <w:sz w:val="18"/>
          <w:szCs w:val="18"/>
          <w:u w:val="single" w:color="auto"/>
          <w:color w:val="auto"/>
        </w:rPr>
        <w:t>Segregated Accounts</w:t>
      </w:r>
      <w:r>
        <w:rPr>
          <w:rFonts w:ascii="Times New Roman" w:cs="Times New Roman" w:eastAsia="Times New Roman" w:hAnsi="Times New Roman"/>
          <w:sz w:val="18"/>
          <w:szCs w:val="18"/>
          <w:color w:val="auto"/>
        </w:rPr>
        <w:t>”), which will be subject to the Twin DIP Liens on a first priority basis and subject to a Segregated Account Control Agreement in favor of the DIP Agent. The terms of the Segregated Account Control Agreement for the Twin Segregated Account shall permit the Twin DIP Loan Parties to retain full use of the Twin Segregated Account consistent with the Approved Budget, and any restrictions in favor of the DIP Agent under such Segregated Account Control Agreement shall not take effect unless an Event of Default has occurred or is occurring and a “notice of exclusive control” (or similar such term) has been delivered in accordance with the terms of the applicable Segregated Account Control Agreement. On each funding date, the Twin DIP Lenders will advance funds to the DIP Agent and the DIP Agent will, subject to the terms and conditions of this Agreement, disburse such funds to the relevant Segregated Account in accordance with the wire transfer instructions provided in the applicable Notice of Borrowing; provided the DIP Agent shall not have any obligations or liability (x) with respect to the wire instructions for any account set forth in a Notice of Borrowing or (y) to confirm whether the account specified in any Notice of Borrowing is a Segregated Account. Funds in the Twin Segregated Account may be drawn by the Twin DIP Borrower consistent with the Approved Budget (taking into account any Permitted Variances); provided that, in any calendar month, the aggregate amount withdrawn by the Twin DIP Borrower from the Twin Segregated Account shall not exceed the Monthly Segregated Account Withdrawal Limit applicable to such calendar month for the Twin DIP Loan Parties (clauses (i) and (ii) of which Monthly Segregated Account Withdrawal Limit, shall, for the avoidance of doubt, be automatically reduced in accordance with the definition thereof, on a dollar-for-dollar basis, by the sum of (x) applicable Drawn Excess Amount, if any, for the immediately preceding calendar month plus (y) any remaining unused Drawn Excess Amount from any prior calendar month plus (z) the available cash on hand, calculated on a consolidated basis for all Loan Parties, at such time in excess of $5,000,000), as determined by reference to the Approved Budget then in effect, without the prior written consent of the Required Twin Lenders or the Specified Financial Advisor. For the avoidance of doubt, in no event shall the DIP Agent have any duty, liability or obligation with respect to the calculation or monitoring of the Monthly Segregated Account Withdrawal Limit or the Drawn Excess Amounts. Once withdrawn from the Twin Segregated Account, the funds shall continue to be Twin DIP Collateral until such funds are first used by the Twin Loan Parties. For the avoidance of doubt, the Twin Segregated Account and all funds deposited therein shall be subject only to (i) the Carve-Out, (ii) the Twin DIP Liens, and (iii) the Twin Adequate Protection Liens, and shall not be subject to any other liens, claims, or interests (including, without limitation, any claims, liens, or interests arising under or related to the Management Agreements). The proceeds of the Twin New Money Term Loans shall be used only to pay the obligations of the Twin DIP Loan Parties, subject to the Stipulated Allocation.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jc w:val="both"/>
        <w:ind w:firstLine="1304"/>
        <w:spacing w:after="0" w:line="253" w:lineRule="auto"/>
        <w:tabs>
          <w:tab w:leader="none" w:pos="155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Each borrowing of New Money Term Loans shall be made upon the Borrower’s irrevocable notice to the DIP Agent of such borrowing. Each such notice (other than the notice delivered in connection with the borrowing on the Closing Date) must be received by the DIP Agent not later than 12:00 p.m. noon, New York City time, three (3) Business Days before the date of the proposed Borrowing. Each such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shall be irrevocable and shall specify the following information: (i) the date of such Borrowing, which shall be a Business Day; (ii) whether such Borrowing consists of FBG New Money Term Loans and/or Twin New Money Term Loans; (iii) the aggregate principal amount of each such Borrowing and the amount to be funded by the DIP Lenders; (iv) wire instructions for the applicable Borrower’s account (which must be a Segregated Account, as specified by the applicable Borrower (and the DIP Agent shall not have any obligation with respect thereto)) to which borrowed funds are to be transferred by the DIP Agent upon receipt from the DIP Lenders; and (v) a statement certified by an authorized officer of the applicable Borrower that the conditions set forth in Section 4(a), (b) or (c), as applicable, will be satisfied (or waived by the DIP Agent (at the written direction of the Required Lenders)) as of the date the requested Borrowing is made.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Funds</w:t>
      </w:r>
      <w:r>
        <w:rPr>
          <w:rFonts w:ascii="Times New Roman" w:cs="Times New Roman" w:eastAsia="Times New Roman" w:hAnsi="Times New Roman"/>
          <w:sz w:val="18"/>
          <w:szCs w:val="18"/>
          <w:color w:val="auto"/>
        </w:rPr>
        <w:t>. Following receipt of a Notice of Borrowing (other than any Notice of Borrowing delivered in connection with a borrowing on or about the Closing Date), the DIP Agent shall promptly notify each DIP Lender of the amount of its Pro Rata Share of the New Money Term Loans requested. In the case of each Borrowing, each DIP Lender shall make the amount of its New Money Term Loan available to the DIP Agent in immediately available funds not later than 12:00 p.m. noon, New York City time on the Business Day specified in the applicable Notice of Borrowing. Upon satisfaction (or waiver by the DIP Agent (at the written direction of the Required Lenders)) of the applicable conditions set forth in Section 4(a), (b) or (c), the DIP Agent shall make all funds so received available to the Borrower in like funds as received by the DIP Agent by wire transfer of such funds, in each case in accordance with instructions provided to the DIP Agent by the applicable Borrower in the Notice of Borrowing, and the DIP Agent shall not have any duty, liability or obligation with respect to such wire instructions. All DIP Loans shall be made by the DIP Lenders proportionately to their respective Pro Rata Share of the Commitments. Notwithstanding anything to the contrary herein, if the DIP Agent does not receive funds sufficient to fund the requested Borrowing in full, the DIP Agent shall make available to the Borrower the aggregate amount of funds actually received from the DIP Lenders in respect of such Borrowing (without regard to any DIP Lender’s Pro Rata Share), and the Borrowing shall be deemed made in such lesser amount (it being understood and agreed that this sentence shall in no way limit the DIP Lenders’ obligations 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ind w:left="400" w:hanging="216"/>
        <w:spacing w:after="0"/>
        <w:tabs>
          <w:tab w:leader="none" w:pos="4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Roll-Up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5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occurrence of the Roll-Up Effective Time with respect to each Borrowing of New Money Term Loans, without any further action by any party to this Agreement, the Bankruptcy Court or any other Person other than as set forth in this Agreement, to the extent set forth in the applicable DIP Order and based on written instructions prepared by the Borrowers in coordination with the DIP Lenders and delivered by the Borrowers to the DIP Agent (which instructions may be included in the applicable Notice of Borrowing) prior to such Roll-Up Effective Time, specifying the amount of Roll-Up Loans to be deemed issued to each DIP Lender in connection with such Borrowing (which instruction the DIP Agent shall be entitled to rely upon conclusively and without independent verification or calculation), the applicable portion of each DIP Lender’s total Roll-Up Loan Amount attributable to such Borrowing (which shall be equal to three dollars of Roll-Up Loan Amount for every dollar of New Money Term Loans funded in such Borrowing) shall be deemed to have been borrowed by the applicable Borrower (such deemed borrowings, collectively, the “</w:t>
      </w: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xml:space="preserve">”) and used to repay a commensurate amount of such DIP Lender’s Prepetition Class A-2 Secured Obligations. Such repayment shall be evidenced by the cancellation of the commensurate amount of Prepetition Class A-2 Secured Obligations pursuant to the Prepetition Indentures; provided that the borrowing of the applicable Roll-Up Loan Amount shall be deemed to occur on each Roll-Up Effective Time notwithstanding that the cancellation of the related Prepetition Class A-2 Notes has not been completed on such date. Subject to the terms and conditions set forth herein and in the applicable DIP Order, upon each Roll-Up Effective Time, the incremental Roll-Up Loans deemed issued in connection with the applicable Borrowing as of such Roll-Up Effective Time shall, from and after such Roll-Up Effective Time, be designated as such and administered hereunder. For the avoidance of doubt, Roll-Up Loans shall be deemed issued on an incremental basis corresponding to each Borrowing of New Term Loans, and the aggregate Roll-Up Loan Amount outstanding at any time shall not exceed three dollars for every dollar of aggregate New Money Term Loans funded through such date. Amounts of Roll-Up Loans that are issued or deemed issued under this Section 2(f) that are repaid or prepaid may not be reborrowed. Notwithstanding anything in this Agreement, including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in effect from time to time, or any other Loan Document to the contrary, (a) the aggregate principal amount of each DIP Lender’s Roll-Up Loans shall not exceed such DIP Lender’s Roll-Up Loan Amount set forth on Schedule 1 and (b) the aggregate principal amount of all Roll-Up Loans of all DIP Lenders shall not exceed $230,700,000 at any time.</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5" w:name="page96"/>
    <w:bookmarkEnd w:id="95"/>
    <w:p>
      <w:pPr>
        <w:jc w:val="both"/>
        <w:ind w:left="1300" w:firstLine="652"/>
        <w:spacing w:after="0" w:line="253" w:lineRule="auto"/>
        <w:tabs>
          <w:tab w:leader="none" w:pos="221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(1) each DIP Lender’s Roll-Up Loans under the FBG Roll-Up DIP Facility shall have claims and liens solely against the Loan Parties that were obligors under the FBG Prepetition Notes Documents and whose FBG Class A-2 Prepetition Secured Obligations are deemed repaid with the proceeds of such Roll-Up Loans in accordance with Section 2(f)(i); and (2) each DIP Lender’s Roll-Up Loans under the Twin Roll-Up DIP Facility shall have claims and liens solely against the Loan Parties that were obligors under the Twin Prepetition Notes Documents and whose Twin Class A-2 Prepetition Secured Obligations are deemed repaid with the proceeds of such Roll-Up Loans in accordance with Section 2(f)(i); provided that the Twin Junior Roll-Up Financing shall be junior to the Twin New Money Term Loans and the Twin Senior Roll-Up Financing in right of payment and lien priority (subject to the Twin Roll-Up Reservation with respect to the relative priority of the Twin Class A-2-I Notes and the Twin Class A-2-II Notes). The DIP Agent shall be entitled to conclusively rely on written direction of the Required Twin Lenders with respect to the resolution of the Twin Roll-Up Reservation.</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aggregate principal amount of all the DIP Loans outstanding on the Maturity Date, together with all accrued and unpaid interest thereon, shall become due and payable in full on the Maturity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and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7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Subject to the provisions of Section 2(h)(ii), each DIP Loan shall bear interest on the outstanding principal amount thereof from the applicable date of Borrowing at a rate per annum equal to the Applicable Rate. Interest accruing on each DIP Loan shall be due and payable on the last Business Day of each calendar month after the Closing Date and on the Maturity Date. Notwithstanding the foregoing or anything to the contrary contained herein, on each date on which interest is to be paid in accordance with this Section 2(h)(i) (other than the Maturity Date), such interest shall be paid in kind on each such date by capitalizing and adding such interest to the then outstanding principal balance of the applicable DIP Loan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Any PIK Interest so capitalized shall be added to the outstanding principal amount of such DIP Loan on the relevant interest payment date and shall thereafter bear interest at the Applicable Rate as part of the principal amount of such DIP Loan. For the avoidance of doubt, all references herein and in any other DIP Loan Document to the “principal amount” of any DIP Loan shall include any PIK Interest that has been capitalized and added to such principal amount. Interest at the Default Rate, if applicable, shall be payable in cash and shall not be capitalized as PIK Interest.</w:t>
      </w:r>
    </w:p>
    <w:p>
      <w:pPr>
        <w:spacing w:after="0" w:line="194" w:lineRule="exact"/>
        <w:rPr>
          <w:sz w:val="20"/>
          <w:szCs w:val="20"/>
          <w:color w:val="auto"/>
        </w:rPr>
      </w:pPr>
    </w:p>
    <w:p>
      <w:pPr>
        <w:jc w:val="both"/>
        <w:ind w:left="1300" w:firstLine="652"/>
        <w:spacing w:after="0" w:line="258" w:lineRule="auto"/>
        <w:tabs>
          <w:tab w:leader="none" w:pos="221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Notwithstanding the foregoing clause (i), if an Event of Default has occurred and is continuing, the Borrowers shall pay interest on past due amounts owing by them hereunder at a rate per annum equal to the Default Rate to the fullest extent permitted by law, from the date of such Event of Default until, in each case, such Event of Default has been remedied to the satisfaction of the DIP Agent (at the written direction of the Required Lenders) or such Event of Default has been waived by the Required Lenders. Accrued and unpaid interest on past due amounts (including interest on past due interest) shall be due and payable on demand in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ind w:left="180" w:firstLine="652"/>
        <w:spacing w:after="0" w:line="255" w:lineRule="auto"/>
        <w:tabs>
          <w:tab w:leader="none" w:pos="115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Upfront Fees</w:t>
      </w:r>
      <w:r>
        <w:rPr>
          <w:rFonts w:ascii="Times New Roman" w:cs="Times New Roman" w:eastAsia="Times New Roman" w:hAnsi="Times New Roman"/>
          <w:sz w:val="18"/>
          <w:szCs w:val="18"/>
          <w:color w:val="auto"/>
        </w:rPr>
        <w:t>. Each Borrower agrees to pay, for the ratable account of each DIP Lender, an upfront fee, in an aggregate amount equal to 2.5% of the New Money Term Loans funded under this Agreement on each Borrowing Date (the “</w:t>
      </w:r>
      <w:r>
        <w:rPr>
          <w:rFonts w:ascii="Times New Roman" w:cs="Times New Roman" w:eastAsia="Times New Roman" w:hAnsi="Times New Roman"/>
          <w:sz w:val="18"/>
          <w:szCs w:val="18"/>
          <w:u w:val="single" w:color="auto"/>
          <w:color w:val="auto"/>
        </w:rPr>
        <w:t>Upfront Fee</w:t>
      </w:r>
      <w:r>
        <w:rPr>
          <w:rFonts w:ascii="Times New Roman" w:cs="Times New Roman" w:eastAsia="Times New Roman" w:hAnsi="Times New Roman"/>
          <w:sz w:val="18"/>
          <w:szCs w:val="18"/>
          <w:color w:val="auto"/>
        </w:rPr>
        <w:t>”), which shall be deemed to be fully earned upon the funding of the New Money Term Loans on each applicable Borrowing Date (including on the Closing Date upon the initial funding of the New Money Term Loans) and shall be payable in kind by capitalizing and adding such amount to the then outstanding principal amount of the applicable New Money Term Loans on such Borrowing Date. For the avoidance of doubt, all references herein and in any other DIP Loan Documents to the “principal amount” of any DIP Loan shall include any Upfront Fee that has been capitalized and added to such principal amount.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Fee</w:t>
      </w:r>
      <w:r>
        <w:rPr>
          <w:rFonts w:ascii="Times New Roman" w:cs="Times New Roman" w:eastAsia="Times New Roman" w:hAnsi="Times New Roman"/>
          <w:sz w:val="18"/>
          <w:szCs w:val="18"/>
          <w:color w:val="auto"/>
        </w:rPr>
        <w:t>. Upon the payment, repayment, prepayment, refinancing, satisfaction, or other discharge of any portion of the Obligations that are not Roll-Up Financing (including as a result of acceleration or stated maturity) or the termination of any Commitments (including as a result of acceleration or stated maturity, but other than as a result of the borrowing of the DIP Loans), an exit fee (the “</w:t>
      </w:r>
      <w:r>
        <w:rPr>
          <w:rFonts w:ascii="Times New Roman" w:cs="Times New Roman" w:eastAsia="Times New Roman" w:hAnsi="Times New Roman"/>
          <w:sz w:val="18"/>
          <w:szCs w:val="18"/>
          <w:u w:val="single" w:color="auto"/>
          <w:color w:val="auto"/>
        </w:rPr>
        <w:t>Exit Fee</w:t>
      </w:r>
      <w:r>
        <w:rPr>
          <w:rFonts w:ascii="Times New Roman" w:cs="Times New Roman" w:eastAsia="Times New Roman" w:hAnsi="Times New Roman"/>
          <w:sz w:val="18"/>
          <w:szCs w:val="18"/>
          <w:color w:val="auto"/>
        </w:rPr>
        <w:t xml:space="preserve">”) equal to 2.5% of the aggregate principal amount of such Obligations so paid, repaid, prepaid, refinanced, satisfied or discharged, or the amount of Commitments so terminated, as applicable, shall be due and payable to the DIP Agent, for the ratable account of the applicable DIP Lenders, at the time of such payment or termination. Such Exit Fee shall (x) in the event of payment in full of the DIP Loans or a sale of all or substantially all of the Loan Parties’ assets or equity to a third party (other than pursuant to a Credit Bid of the Obligations and, if applicable, the Prepetition Secured Obligations), be payable in cash from the proceeds of such sale; or (y) in all other cases, be payable in kind by capitalizing and adding such amount to the outstanding principal amount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Exit Fee is paid in kind, the Exit Fee shall be increased to 7.0% of the aggregate principal amount of the Obligations so paid, repaid, prepaid, refinanced, satisfied or discharged, or the amount of Commitments so terminated, as applicable. For the avoidance of doubt, no Exit Fee shall be payable with respect to any payment, repayment, prepayment, refinancing, satisfaction, or other discharge of Obligations that constitute Roll-Up Financing.</w:t>
      </w:r>
    </w:p>
    <w:p>
      <w:pPr>
        <w:spacing w:after="0" w:line="187"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Backstop Commitment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177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FBG DIP Borrowers agree to pay to the FBG Backstop Parties, for the ratable account of each FBG Backstop Party (based on its respective FBG Commitments upon the Closing Date before giving effect to the draw on that date), a backstop fee, in an aggregate amount equal to 10.0% of the aggregate principal amount of the FBG Commitments of each FBG Backstop Party before giving effect to the draw on that date (the “</w:t>
      </w:r>
      <w:r>
        <w:rPr>
          <w:rFonts w:ascii="Times New Roman" w:cs="Times New Roman" w:eastAsia="Times New Roman" w:hAnsi="Times New Roman"/>
          <w:sz w:val="18"/>
          <w:szCs w:val="18"/>
          <w:u w:val="single" w:color="auto"/>
          <w:color w:val="auto"/>
        </w:rPr>
        <w:t>FBG Backstop Fee</w:t>
      </w:r>
      <w:r>
        <w:rPr>
          <w:rFonts w:ascii="Times New Roman" w:cs="Times New Roman" w:eastAsia="Times New Roman" w:hAnsi="Times New Roman"/>
          <w:sz w:val="18"/>
          <w:szCs w:val="18"/>
          <w:color w:val="auto"/>
        </w:rPr>
        <w:t>”), which fee shall be earned in full upon the initial funding of the FBG New Money Term Loans on the Closing Date and shall be payable in kind to the FBG Backstop Parties by capitalizing and adding such amount to the outstanding principal amount of the FBG New Money Term Loans of each FBG Backstop Party on the Closing Date; and</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7" w:name="page98"/>
    <w:bookmarkEnd w:id="97"/>
    <w:p>
      <w:pPr>
        <w:jc w:val="both"/>
        <w:ind w:left="1300" w:firstLine="1300"/>
        <w:spacing w:after="0" w:line="274" w:lineRule="auto"/>
        <w:tabs>
          <w:tab w:leader="none" w:pos="2882" w:val="left"/>
        </w:tabs>
        <w:numPr>
          <w:ilvl w:val="2"/>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Twin DIP Borrower agrees to pay to the Twin Backstop Parties, for the ratable account of each Twin Backstop Party (based on its respective Twin Commitments upon the Closing Date before giving effect to the draw on that date), a backstop fee, in an aggregate amount equal to 10.0% of the maximum aggregate principal amount of the Twin Commitments of each Twin Backstop Party before giving effect to the draw on that date (the “</w:t>
      </w:r>
      <w:r>
        <w:rPr>
          <w:rFonts w:ascii="Times New Roman" w:cs="Times New Roman" w:eastAsia="Times New Roman" w:hAnsi="Times New Roman"/>
          <w:sz w:val="17"/>
          <w:szCs w:val="17"/>
          <w:u w:val="single" w:color="auto"/>
          <w:color w:val="auto"/>
        </w:rPr>
        <w:t>Twin Backstop Fee</w:t>
      </w:r>
      <w:r>
        <w:rPr>
          <w:rFonts w:ascii="Times New Roman" w:cs="Times New Roman" w:eastAsia="Times New Roman" w:hAnsi="Times New Roman"/>
          <w:sz w:val="17"/>
          <w:szCs w:val="17"/>
          <w:color w:val="auto"/>
        </w:rPr>
        <w:t>”), which fee shall be earned in full upon the initial funding of the Twin New Money Term Loans on the Closing Date and shall be payable in kind to the Twin Backstop Parties by capitalizing and adding such amount to the outstanding principal amount of the Twin New Money Term Loans of each Twin Backstop Party on the Closing Date.</w:t>
      </w:r>
    </w:p>
    <w:p>
      <w:pPr>
        <w:spacing w:after="0" w:line="172"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The Borrowers agree to pay the DIP Agent the fees set forth in the Agent Fee Letter.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0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and shall be payable for the actual number of days elapsed (including the first day but excluding the last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 and Commitment Reductions</w:t>
      </w:r>
      <w:r>
        <w:rPr>
          <w:rFonts w:ascii="Times New Roman" w:cs="Times New Roman" w:eastAsia="Times New Roman" w:hAnsi="Times New Roman"/>
          <w:sz w:val="18"/>
          <w:szCs w:val="18"/>
          <w:color w:val="auto"/>
        </w:rPr>
        <w:t>. The Borrowers may voluntarily terminate the Commitments and prepay the DIP Loans in whole (but not in part) at any time without premium or penalty upon at least three (3) Business Days’ prior written notice (or such shorter period as agreed by the DIP Agent (at the written direction of the Required Lenders)). Any such notice shall specify the proposed prepayment date, and on such date the Borrowers shall repay in full in cash all outstanding DIP Loans, together with all accrued and unpaid interest thereon and all other Obligations (including Exit Fee) then due and payable, and the Commitments shall be permanently terminated.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 of Commitments</w:t>
      </w:r>
      <w:r>
        <w:rPr>
          <w:rFonts w:ascii="Times New Roman" w:cs="Times New Roman" w:eastAsia="Times New Roman" w:hAnsi="Times New Roman"/>
          <w:sz w:val="18"/>
          <w:szCs w:val="18"/>
          <w:color w:val="auto"/>
        </w:rPr>
        <w:t>. The Commitment shall automatically be permanently reduced on each date of Borrowing of DIP Loans (after giving effect to the DIP Loans incurred on such date) by an amount equal to the aggregate principal amount of the DIP Loans incurred on such Borrowing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Commitment</w:t>
      </w:r>
      <w:r>
        <w:rPr>
          <w:rFonts w:ascii="Times New Roman" w:cs="Times New Roman" w:eastAsia="Times New Roman" w:hAnsi="Times New Roman"/>
          <w:sz w:val="18"/>
          <w:szCs w:val="18"/>
          <w:color w:val="auto"/>
        </w:rPr>
        <w:t>. The Commitment shall terminate in its entirety and be automatically reduced to $0 at 12:00 p.m., New York City time on the last day of the Commitment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ind w:left="1520" w:hanging="216"/>
        <w:spacing w:after="0"/>
        <w:tabs>
          <w:tab w:leader="none" w:pos="1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In each case, subject to the terms and conditions of the DIP Order and the Approved Budget: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18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(3) Business Days following receipt by any Loan Party of cash proceeds of (x) any asset Disposition (other than a Permitted Disposition) or (y) a Permitted Disposition that is not in the ordinary course of business, in each case, where the cash proceeds of such Disposition exceed $100,000 (individually) or, when aggregated with all other Dispositions since the Closing Date, exceed $300,000 in the aggregate, unless the Required Lenders agree otherwise, the Borrowers shall prepay the DIP Loans in an amount equal to all such proceeds, net of (x) commissions and other reasonable and customary transaction costs, fees and expenses properly attributable to such transaction and payable by the Borrowers or any Loan Party in connection therewith (in each case, paid to Persons that are not Affiliates of the Loan Parties), and (y) with respect to proceeds from the Disposition of assets securing obligations owed to a third party, which Lien is senior to the Liens securing the Obligations, the amount of such proceeds required by an order of the Bankruptcy Court to repay such third party obligations.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3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(1) Business Day following receipt by any Loan Party of cash proceeds of any debt securities or other Indebtedness other than Permitted Indebtedness, the Borrowers shall prepay the DIP Loans in an amount equal to all such proceeds, net of underwriting discounts and commissions and other reasonable costs or fees paid to non-affiliates in connection therewith.</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amount of DIP Loans outstanding exceeds the amount permitted to be outstanding pursuant to the DIP Order, the Borrowers agree to promptly (and in any event within three (3) Business Days) prepay the DIP Loans in the amounts and at the times as may be necessary to comply with the DIP Order.</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5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2(l) shall be construed to constitute the DIP Lender’s consent to any transaction that is not permitted by other provisions of the DIP Order or the other DIP Loan Documents.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Discharge; Survival of Claims</w:t>
      </w:r>
      <w:r>
        <w:rPr>
          <w:rFonts w:ascii="Times New Roman" w:cs="Times New Roman" w:eastAsia="Times New Roman" w:hAnsi="Times New Roman"/>
          <w:sz w:val="18"/>
          <w:szCs w:val="18"/>
          <w:color w:val="auto"/>
        </w:rPr>
        <w:t>. Until the Obligations are paid in full in cash (or otherwise satisfied pursuant to an Acceptable Sale Transaction) and the Commitments have been terminated, the Borrowers agree that the Obligations hereunder shall not be discharged by the entry of an order confirming a plan of reorganization (and Borrowers, pursuant to section 1141(d)(4) of the Bankruptcy Code, hereby waive any such discharge) and any DIP Lien shall not be affected in any manner by the entry of an order confirming any plan of reorganization that does not provide for the Obligations to be paid in full in cash or by the DIP Lenders’ election to Credit Bid.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ind w:firstLine="1304"/>
        <w:spacing w:after="0" w:line="266"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and Priority</w:t>
      </w:r>
      <w:r>
        <w:rPr>
          <w:rFonts w:ascii="Times New Roman" w:cs="Times New Roman" w:eastAsia="Times New Roman" w:hAnsi="Times New Roman"/>
          <w:sz w:val="18"/>
          <w:szCs w:val="18"/>
          <w:color w:val="auto"/>
        </w:rPr>
        <w:t>. From and after the Petition Date, without limitation of Section 10 and subject in all respects to the entry and the terms of (including any adequate protection liens granted under) the Interim DIP Order (and the Final DIP Order, when applicable), all of the Obligations of each Loan Party are authorized by each DIP Order and shall, subject only to the Carve-Out in full in cash, at all times: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9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364(c)(1) of the Bankruptcy Code, constitute joint and several allowed super-priority administrative expense claims against the Loan Parties (without the need to file any proof of claim) with priority, subject and subordinate to the Carve-Out and Intercompany Claims (as defined in the DIP Order), as set forth on Annex 1 to the Interim DIP Order, over any and all other administrative expenses, adequate protection claims, diminution in value claims, and all other claims asserted against the Loan Parties, now existing or hereafter arising, of any kind whatsoever, including, without limitation, all administrative expenses of the kind specified in sections 503(b) and 507(b) of the Bankruptcy Code and any and all administrative expenses or other claims arising under sections 105, 326, 328, 330, 331, 361, 362, 363, 364, 365, 503, 506(c), 507(a), 507(b), 546, 726, 1113 or 1114 of the Bankruptcy Code, whether or not such expenses or claims may become secured by a judgment lien or other non-consensual lien, levy or attachment, which allowed claims (the “</w:t>
      </w:r>
      <w:r>
        <w:rPr>
          <w:rFonts w:ascii="Times New Roman" w:cs="Times New Roman" w:eastAsia="Times New Roman" w:hAnsi="Times New Roman"/>
          <w:sz w:val="18"/>
          <w:szCs w:val="18"/>
          <w:u w:val="single" w:color="auto"/>
          <w:color w:val="auto"/>
        </w:rPr>
        <w:t>DIP Super-Priority Claims</w:t>
      </w:r>
      <w:r>
        <w:rPr>
          <w:rFonts w:ascii="Times New Roman" w:cs="Times New Roman" w:eastAsia="Times New Roman" w:hAnsi="Times New Roman"/>
          <w:sz w:val="18"/>
          <w:szCs w:val="18"/>
          <w:color w:val="auto"/>
        </w:rPr>
        <w:t>”) shall for purposes of section 1129(a)(9)(A) of the Bankruptcy Code be considered administrative expenses allowed under section 503(b) of the Bankruptcy Code, and which DIP Super-Priority Claims shall be payable from and have recourse to all DIP Collateral, whether existing on the Petition Date or thereafter acquired, of the Loan Parties and all proceeds thereof, including any cash constituting DIP Collateral of such Loan Parties (including without limitation, Cash Collateral) and, subject to entry of the Final DIP Order, the proceeds of any Avoidance Actions;</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364(c)(2) of the Bankruptcy Code, be secured by legal, binding, continuing, allowed, enforceable, non-avoidable, properly authorized, and automatically valid, fully and properly perfected and effective, first-priority security interests in and Liens on all DIP Collateral of the applicable Loan Parties (but not, for the avoidance of doubt, any Excluded Asset) that, as of the Petition Date, was not subject to the Liens or security interests securing the Prepetition Notes (collectively, “</w:t>
      </w:r>
      <w:r>
        <w:rPr>
          <w:rFonts w:ascii="Times New Roman" w:cs="Times New Roman" w:eastAsia="Times New Roman" w:hAnsi="Times New Roman"/>
          <w:sz w:val="18"/>
          <w:szCs w:val="18"/>
          <w:u w:val="single" w:color="auto"/>
          <w:color w:val="auto"/>
        </w:rPr>
        <w:t>Unencumbered Property</w:t>
      </w:r>
      <w:r>
        <w:rPr>
          <w:rFonts w:ascii="Times New Roman" w:cs="Times New Roman" w:eastAsia="Times New Roman" w:hAnsi="Times New Roman"/>
          <w:sz w:val="18"/>
          <w:szCs w:val="18"/>
          <w:color w:val="auto"/>
        </w:rPr>
        <w:t xml:space="preserve">”), which shall be subject and subordinate only to (1) the Carve Out, (2) Permitted Prior Liens and (3) Intercompany Liens (as defined in the Interim DIP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any Manager Advances; and</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8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sections 364(c)(3) and 364(d)(1) of the Bankruptcy Code, be secured by legal, binding, continuing, allowed, enforceable, non-avoidable, properly authorized, and automatically valid, fully and properly perfected and effective, first priority priming security interests in and liens on all DIP Collateral (other than Unencumbered Property) which (A) shall be subject and subordinate only to (1) the Carve-Out, (2) the Permitted Prior Liens, and (3) Intercompany Liens, and (B) shall be senior and priming to the Prepetition Liens, any liens junior to the Prepetition Liens, the Adequate Protection Liens, and any other prepetition or postpetition liens or other interests of any kind of any other person or entity with respect to the DIP Collateral, whether created voluntarily or involuntarily including by court of a court), in each case other than the Carve-Out and Permitted Prior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any Manager Advances.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the avoidance of doubt and as specified in the DIP Order, the DIP Super-Priority Claims, DIP Liens, and DIP Collateral shall apply separately with respect to the FBG DIP Loan Parties, on the one hand, and the Twin DIP Loan Parties, on the other hand. No DIP Super-Priority Claims or DIP Liens shall be granted against the FBG DIP Loan Parties and their assets to secure or support the Twin DIP Obligations and no DIP Super-Priority Claims or DIP Liens shall be granted against the Twin DIP Loan Parties and their assets to secure or support the FBG DIP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jc w:val="both"/>
        <w:ind w:firstLine="1304"/>
        <w:spacing w:after="0" w:line="254" w:lineRule="auto"/>
        <w:tabs>
          <w:tab w:leader="none" w:pos="15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 Any and all payments or prepayments by or on account of any obligation of the Loan Parties under the DIP Loan Documents (whether of principal, interest, fees, or other amounts payable under this Agreement, or otherwise) shall be made prior to 12:00 p.m., New York City time, on the date when due, in immediately available funds, without setoff or counterclaim. Any amounts received after such time on any date shall be deemed to have been received on the next succeeding Business Day for purposes of calculating interest thereon. All such payments shall be made to the DIP Agent pursuant to wire instructions to be provided by the DIP Agent. The DIP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If at any time insufficient funds are received by and available to the DIP Agent to pay fully all Obligations then due hereunder, such funds shall be applied in the priority set forth in Section 6.</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In order to induce the DIP Agent and each DIP Lender to enter into this Agreement and to induce each DIP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to make DIP Loans, each Borrower represents and warrants, on behalf of itself and the other Loan Parties, that:</w:t>
      </w:r>
    </w:p>
    <w:p>
      <w:pPr>
        <w:spacing w:after="0" w:line="159" w:lineRule="exact"/>
        <w:rPr>
          <w:sz w:val="20"/>
          <w:szCs w:val="20"/>
          <w:color w:val="auto"/>
        </w:rPr>
      </w:pPr>
    </w:p>
    <w:p>
      <w:pPr>
        <w:ind w:firstLine="1304"/>
        <w:spacing w:after="0" w:line="282" w:lineRule="auto"/>
        <w:tabs>
          <w:tab w:leader="none" w:pos="15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of its Subsidiaries is duly organized and validly existing and, subject to </w:t>
      </w:r>
      <w:r>
        <w:rPr>
          <w:rFonts w:ascii="Times New Roman" w:cs="Times New Roman" w:eastAsia="Times New Roman" w:hAnsi="Times New Roman"/>
          <w:sz w:val="18"/>
          <w:szCs w:val="18"/>
          <w:u w:val="single" w:color="auto"/>
          <w:color w:val="auto"/>
        </w:rPr>
        <w:t>Schedule 5(c)</w:t>
      </w:r>
      <w:r>
        <w:rPr>
          <w:rFonts w:ascii="Times New Roman" w:cs="Times New Roman" w:eastAsia="Times New Roman" w:hAnsi="Times New Roman"/>
          <w:sz w:val="18"/>
          <w:szCs w:val="18"/>
          <w:color w:val="auto"/>
        </w:rPr>
        <w:t>, in good standing (to the extent such concept is applicable in the relevant jurisdiction) under the laws of the jurisdiction of its organization.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granting of the Interim DIP Order or Final DIP Order, as applicable, the transactions contemplated by this Agreement and the other DIP Loan Documents (i) are within the power of the Borrowers and the other Loan Parties, (ii) have been duly authorized by all necessary corporate and, if required, other organizational approval by each Borrower and each Loan Party, (iii) constitute legal, valid and binding obligations of each Borrower and each other Loan Party, and (iv) do not require the consent or approval of, or any other action by, any Governmental Authority, except for (a) those filings as may be required, in connection with the disposition of any pledged DIP Collateral, by laws generally affecting the offering and sale of securities, or (b) approvals, consents, or other actions which have been duly obtained, taken, given or made and are in full force and effect.</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DIP Loan Documents have been duly executed and delivered by or on behalf of the Borrowers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Loan Parties.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of the Borrowers and the other Loan Parties have been and will continue to be conducted in material compliance with all laws of each jurisdiction in which business has been or is being carried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both"/>
        <w:ind w:firstLine="1304"/>
        <w:spacing w:after="0" w:line="266" w:lineRule="auto"/>
        <w:tabs>
          <w:tab w:leader="none" w:pos="15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other Loan Parties have obtained or are obtaining all material licenses and permits required for the operation of their businesses, which licenses and permits remain in full force and effect. No proceedings have been commenced or threatened to revoke or amend any of such licenses or permits.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Petition Date, no event or change has occurred that has caused or evidences, either in any case or in the aggregate, a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Borrower’s knowledge, all written factual information (taken as a whole) (other than forward-looking information and projections and information of a general economic nature and general information about each Loan Party’s industry) provided by or on behalf of the Borrowers and the other Loan Parties to the DIP Agent or any DIP Lender for the purposes of or in connection with this Agreement or any other DIP Loan Document is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disclosed all material assumptions with respect to the Budget.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1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any DIP Loan or the proceeds thereof will be used to purchase or carry any Margin Stock or to extend credit for the purpose of purchasing or carrying any Margin Stock. Neither the making of any DIP Loan nor the use of the proceeds thereof will violate or be inconsistent with the provisions of Regulation T, U or X of the FRB.</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any Loan Party of this Agreement or any other DIP Loan Document, nor compliance by it with the terms and provisions thereof, (i) will contravene any provision of any Requirements of Law or any order, writ, injunction or decree of any court or Governmental Authority, subject to the DIP Order, (ii) will conflict with or result in any breach of any of the terms, covenants, conditions or provisions of, or constitute a default under, or result in the creation or imposition of (or the obligation to create or impose) any Lien (except pursuant to the DIP Order) upon any of the property or assets of any Loan Party or any of its Subsidiaries pursuant to the terms of any indenture, mortgage, deed of trust, credit agreement or loan agreement, or any other agreement, contract or instrument, in each case to which any Loan Party or any of its Subsidiaries is a party or by which it or any its property or assets is bound or to which it may be subject (other than as permitted by the DIP Order), except in the case of this clause (ii), as could not, either individually or in the aggregate, reasonably be expected to have a Material Adverse Effect, or (iii) will violate any provision of the certificate or articles of incorporation, certificate of formation, limited liability company agreement or by-laws (or equivalent organizational documents), as applicable, of any Loan Party or any of its Subsidiaries.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of each of the Interim DIP Order or the Final DIP Order and the entry into of this Agreement, the Interim DIP Order, the Final DIP Order and this Agreement, as applicable, create in favor of the DIP Agent, for the benefit of the Secured Parties, the DIP Super-Priority Claims and a legal, valid, enforceable and fully perfected security interest in and Lien on all right, title and interest of the Loan Parties in the DIP Collateral with the priority described in the DIP Order. No filings or recordings are required in order to perfect the security interests created under the DIP Order.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ind w:left="1520" w:hanging="216"/>
        <w:spacing w:after="0"/>
        <w:tabs>
          <w:tab w:leader="none" w:pos="1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is, or is required to be registered as, an “investment company” within the meaning of the Investment Company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 as amended.</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are not an Affiliated Person of Axonic Alternative Income Fund or Axonic Strategic Income Fund, a series of Axonic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Closing Date</w:t>
      </w:r>
      <w:r>
        <w:rPr>
          <w:rFonts w:ascii="Times New Roman" w:cs="Times New Roman" w:eastAsia="Times New Roman" w:hAnsi="Times New Roman"/>
          <w:sz w:val="18"/>
          <w:szCs w:val="18"/>
          <w:color w:val="auto"/>
        </w:rPr>
        <w:t>. The obligation of each DIP Lender to make the initial New Money DIP Loans on the Closing Date shall be subject to the satisfaction or written waiver by the Required Lenders of the following conditions precedent (“</w:t>
      </w:r>
      <w:r>
        <w:rPr>
          <w:rFonts w:ascii="Times New Roman" w:cs="Times New Roman" w:eastAsia="Times New Roman" w:hAnsi="Times New Roman"/>
          <w:sz w:val="18"/>
          <w:szCs w:val="18"/>
          <w:u w:val="single" w:color="auto"/>
          <w:color w:val="auto"/>
        </w:rPr>
        <w:t>Initial Draw Conditions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17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delivered to the DIP Lenders and the DIP Agent an executed counterpart of this Agreement and all schedules and exhibits hereto and any other DIP Loan Documents dated the date hereof.</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Interim DIP Order authorizing and approving, among other things, the DIP Facility, the granting of the DIP Liens with the priority contemplated herein and the Stipulated Allocation set out in Schedule 4(a).</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DIP Order shall be in full force and effect, shall not have been reversed, vacated or stayed and shall not have been amended, supplemented or otherwise modified without the prior written reasonable consent of the Required Lenders.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a copy of the initial Approved Budget which is attached to the Interim Order and the Loan Parties shall be in compliance with such Approved Budget.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2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the DIP Loans on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circumstance shall have occurred or be continuing since the Petition Date that has had, or would be reasonably expected to cause, either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32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and in each other DIP Loan Document shall be true and correct in all material respects (or, to the extent qualified by materiality, in all respects) immediately prior to, and after giving effect to, the makings of the DIP Loans on the Closing Date,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left="180" w:firstLine="652"/>
        <w:spacing w:after="0" w:line="258" w:lineRule="auto"/>
        <w:tabs>
          <w:tab w:leader="none" w:pos="123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and the DIP Agent shall have received all such agreements, instruments, approvals, and other documents, each reasonably satisfactory to the Required Lenders in form and substance, as the Required Lenders may reasonably request, including any closing officer certificates, incumbency and secretary certificate matters (certifying to among other things customary organizational document matters) in each case in form and substance satisfactory to the Required Lenders, and, subject to Schedule 5(c), evidence of good standing.</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DIP Loans on the Closing Date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Interim DIP Order, the First Day Orders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(A) the DIP Agent shall have received (or each shall have agreed to arrangements for the) payment of all fees (including the fees payable under the Agent Fee Letter), costs and expenses (including legal fees and expenses) then due and owing to the DIP Agent, and (B) each other Secured Party shall have received (or each shall have agreed to arrangements for the) payment of all fees (including the Upfront Fee), costs and expense owing to it, in each case to the extent invoiced at least two (2) Business Days prior to the Closing Date.</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Interim DIP Order, upon entry thereof, shall be effective to create in favor of the DIP Agent, for the benefit of the Secured Parties, the DIP Super-Priority Claims and legal, valid, enforceable and perfected security interest in and Lien on the DIP Collateral of the Loan Parties and the proceeds thereof, in the priority described in the DIP Order. All filings, recordings, deliveries of instruments and other actions necessary or desirable in the reasonable opinion of Required Lenders to protect and preserve such security interests shall have been duly effected. The DIP Lender shall have received evidence thereof in form and substance satisfactory to the Required Lenders.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2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have received at least three (3) Business Days prior to the Closing Date all documentation and other information (including, but not limited to, each Borrower’s IRS Form W-9 (or successor form)) required by regulatory authorities under applicable “know your customer” and anti-money laundering rules and regulations, including without limitation, the PATRIOT ACT that has been requested by the DIP Agent not less than five (5) Business Days prior to the Closing Date. The DIP Agent shall have also received, not less than five (5) Business Days (or such shorter time as may be reasonably acceptable to the DIP Agent) prior to the Closing Date, each DIP Lender’s tax documentation as required pursuant to Section 8(c)(ii) and administrative and other information reasonably requested by the DIP Agent.</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4" w:name="page105"/>
    <w:bookmarkEnd w:id="104"/>
    <w:p>
      <w:pPr>
        <w:ind w:left="2340" w:hanging="388"/>
        <w:spacing w:after="0"/>
        <w:tabs>
          <w:tab w:leader="none" w:pos="23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9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Governance Agreement and the Interim DIP Order, the board of directors of the Loan Parties shall be reduced and comprised only of the members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departing board members shall receive all unpaid compensation and fees to the extent and at the time(s) set forth in the Governance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36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Governance Agreement, there has been no change, without the Ad Hoc Group’s prior written consent, to the governance matters set forth in the January 26, 2026 and February 8, 2026 corporate resolutions for each of the Debtors filed at Docket No. 190 (as supplemented by the record of the hearing on February 10, 2026) (the “</w:t>
      </w:r>
      <w:r>
        <w:rPr>
          <w:rFonts w:ascii="Times New Roman" w:cs="Times New Roman" w:eastAsia="Times New Roman" w:hAnsi="Times New Roman"/>
          <w:sz w:val="18"/>
          <w:szCs w:val="18"/>
          <w:u w:val="single" w:color="auto"/>
          <w:color w:val="auto"/>
        </w:rPr>
        <w:t>Governance Protocol</w:t>
      </w:r>
      <w:r>
        <w:rPr>
          <w:rFonts w:ascii="Times New Roman" w:cs="Times New Roman" w:eastAsia="Times New Roman" w:hAnsi="Times New Roman"/>
          <w:sz w:val="18"/>
          <w:szCs w:val="18"/>
          <w:color w:val="auto"/>
        </w:rPr>
        <w:t>”), which provide, among other things, that (i) the Special Committee was delegated complete and exclusive decision-making authority with respect to the Loan Parties’ restructuring, the implementation of any restructuring transactions, and the conduct of the Chapter 11 Cases, and (ii) the CRO was authorized to report directly to the Special Committee and granted exclusive control over the Debtors’ cash and disbursements.</w:t>
      </w:r>
    </w:p>
    <w:p>
      <w:pPr>
        <w:spacing w:after="0" w:line="188"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agreed to the Stipulated Allocation set out in Schedule 4(a).</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5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in form and substance acceptable to the Required Lenders approving the Governance Agreement and the Governance Agreement shall be in full force and effect and all parties thereto shall be in full compliance of the Governance Agreement.</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Houlihan Engagement Letter shall have been executed and delivered to the Specified Financial Advisor.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Second Borrowing Date</w:t>
      </w:r>
      <w:r>
        <w:rPr>
          <w:rFonts w:ascii="Times New Roman" w:cs="Times New Roman" w:eastAsia="Times New Roman" w:hAnsi="Times New Roman"/>
          <w:sz w:val="18"/>
          <w:szCs w:val="18"/>
          <w:color w:val="auto"/>
        </w:rPr>
        <w:t>. The obligation of each DIP Lender to make a second New Money DIP Loan after the Closing Date shall be subject to the satisfaction or written waiver by the DIP Agent (at the written direction of the Required Lenders) of the following conditions precedent (“</w:t>
      </w:r>
      <w:r>
        <w:rPr>
          <w:rFonts w:ascii="Times New Roman" w:cs="Times New Roman" w:eastAsia="Times New Roman" w:hAnsi="Times New Roman"/>
          <w:sz w:val="18"/>
          <w:szCs w:val="18"/>
          <w:u w:val="single" w:color="auto"/>
          <w:color w:val="auto"/>
        </w:rPr>
        <w:t>Second Draw Conditions</w:t>
      </w:r>
      <w:r>
        <w:rPr>
          <w:rFonts w:ascii="Times New Roman" w:cs="Times New Roman" w:eastAsia="Times New Roman" w:hAnsi="Times New Roman"/>
          <w:sz w:val="18"/>
          <w:szCs w:val="18"/>
          <w:color w:val="auto"/>
        </w:rPr>
        <w:t>”) on or prior to such date (the “</w:t>
      </w:r>
      <w:r>
        <w:rPr>
          <w:rFonts w:ascii="Times New Roman" w:cs="Times New Roman" w:eastAsia="Times New Roman" w:hAnsi="Times New Roman"/>
          <w:sz w:val="18"/>
          <w:szCs w:val="18"/>
          <w:u w:val="single" w:color="auto"/>
          <w:color w:val="auto"/>
        </w:rPr>
        <w:t>Second Borrowing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DIP Order and the Bidding Procedures Order, in each case, shall be in full force and effect, shall not have been reversed, vacated or stayed and shall not have been amended, supplemented or otherwise modified without the prior written reasonable consent of the Required Lenders.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shall be true and correct in all material respects (or, to the extent qualified by materiality, in all respects) immediately prior to, and after giving effect to, the making of such DIP Loans,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ind w:left="180" w:firstLine="652"/>
        <w:spacing w:after="0" w:line="282" w:lineRule="auto"/>
        <w:tabs>
          <w:tab w:leader="none" w:pos="114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the most recently required revised Approved Budget, which has been consented to by the Required Lenders to the extent required in Section 5(a).</w:t>
      </w:r>
    </w:p>
    <w:p>
      <w:pPr>
        <w:spacing w:after="0" w:line="161"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such DIP Loans.</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DIP Order, any entered order related to the Acceptable Sale Process,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DIP Loans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taken by any Loan Party or any of its Affiliates in the Chapter 11 Cases that would reasonably be expected to materially delay the consummation of an Acceptable Sale Transaction in accordance with the Milestones.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have obtained all governmental authorizations from any Governmental Authority that are necessary in connection with the transactions contemplated by the DIP Loan Documents and each of the foregoing shall be in full force and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9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the DIP Agent and each other Secured Party shall have received (or each shall have agreed to arrangements for the) payment of all fees, costs and expenses (including legal fees and expenses) then due and owing to it to the extent invoiced at least two (2) Business Days prior to the proposed date of borrowing.</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14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Draw Conditions shall remain satisfied or have been waived in writing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Milestones (as may be waived or amended from time to time with the prior written consent of the Required Lenders).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6" w:name="page107"/>
    <w:bookmarkEnd w:id="106"/>
    <w:p>
      <w:pPr>
        <w:jc w:val="both"/>
        <w:ind w:firstLine="1304"/>
        <w:spacing w:after="0" w:line="266" w:lineRule="auto"/>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Third Borrowing Date</w:t>
      </w:r>
      <w:r>
        <w:rPr>
          <w:rFonts w:ascii="Times New Roman" w:cs="Times New Roman" w:eastAsia="Times New Roman" w:hAnsi="Times New Roman"/>
          <w:sz w:val="18"/>
          <w:szCs w:val="18"/>
          <w:color w:val="auto"/>
        </w:rPr>
        <w:t>. The obligation of each DIP Lender to make a third New Money DIP Loan after the Closing Date shall be subject to the satisfaction or written waiver by the DIP Agent (at the written direction of the Required Lenders) of the following conditions precedent (“</w:t>
      </w:r>
      <w:r>
        <w:rPr>
          <w:rFonts w:ascii="Times New Roman" w:cs="Times New Roman" w:eastAsia="Times New Roman" w:hAnsi="Times New Roman"/>
          <w:sz w:val="18"/>
          <w:szCs w:val="18"/>
          <w:u w:val="single" w:color="auto"/>
          <w:color w:val="auto"/>
        </w:rPr>
        <w:t>Third Draw Conditions</w:t>
      </w:r>
      <w:r>
        <w:rPr>
          <w:rFonts w:ascii="Times New Roman" w:cs="Times New Roman" w:eastAsia="Times New Roman" w:hAnsi="Times New Roman"/>
          <w:sz w:val="18"/>
          <w:szCs w:val="18"/>
          <w:color w:val="auto"/>
        </w:rPr>
        <w:t>”) on or prior to such date (the “</w:t>
      </w:r>
      <w:r>
        <w:rPr>
          <w:rFonts w:ascii="Times New Roman" w:cs="Times New Roman" w:eastAsia="Times New Roman" w:hAnsi="Times New Roman"/>
          <w:sz w:val="18"/>
          <w:szCs w:val="18"/>
          <w:u w:val="single" w:color="auto"/>
          <w:color w:val="auto"/>
        </w:rPr>
        <w:t>Third Borrowing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DIP Order and the Bidding Procedures Order, in each case, shall be in full force and effect, shall not have been reversed, vacated or stayed and shall not have been amended, supplemented or otherwise modified without the prior written reasonable consent of the Required Lenders.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shall be true and correct in all material respects (or, to the extent qualified by materiality, in all respects) immediately prior to, and after giving effect to, the making of such DIP Loans,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26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the most recently required revised Approved Budget, which has been consented to by the Required Lenders to the extent required in Section 5(a).</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such DIP Loans.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DIP Order, any entered order related to the Acceptable Sale Process,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DIP Loans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7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taken by any Loan Party or any of its Affiliates in the Chapter 11 Cases that would reasonably be expected to materially delay the consummation of an Acceptable Sale Transaction in accordance with the Milestones.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have obtained all governmental authorizations from any Governmental Authority that are necessary in connection with the transactions contemplated by the DIP Loan Documents and each of the foregoing shall be in full force and effect.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the DIP Agent and each other Secured Party shall have received (or each shall have agreed to arrangements for the) payment of all fees, costs and expenses (including legal fees and expenses) then due and owing to it to the extent invoiced at least two (2) Business Days prior to the proposed date of borrowing.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ind w:left="1300" w:right="20" w:firstLine="652"/>
        <w:spacing w:after="0" w:line="282" w:lineRule="auto"/>
        <w:tabs>
          <w:tab w:leader="none" w:pos="226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Draw Conditions and Second Draw Conditions shall remain satisfied or have been waived in writing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2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Milestones (as may be waived or amended from time to time with the prior written consent of the Required Lenders).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Need shall exist on the Third Borrowing Date and prior to the making of such DIP Loans (which Liquidity Need shall be demonstrated and calculated in reasonable detail and certified in the Notice of Borrowing delivered in accordance with Section 4(c)(v) above).</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Deadline under the Bidding Procedures Order shall have occurred.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color w:val="auto"/>
        </w:rPr>
        <w:t>. On and after the effective date of this Agreement and until the date that the Commitment hereunder has terminated and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and interest on, each DIP Loans and all fees, expenses and other amounts payable under any DIP Loan Document (other than contingent indemnification obligations for which no claim or demand has been made) have been paid in full in cash:</w:t>
      </w:r>
    </w:p>
    <w:p>
      <w:pPr>
        <w:spacing w:after="0" w:line="175" w:lineRule="exact"/>
        <w:rPr>
          <w:sz w:val="20"/>
          <w:szCs w:val="20"/>
          <w:color w:val="auto"/>
        </w:rPr>
      </w:pPr>
    </w:p>
    <w:p>
      <w:pPr>
        <w:jc w:val="both"/>
        <w:ind w:firstLine="1304"/>
        <w:spacing w:after="0" w:line="252" w:lineRule="auto"/>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Requirements</w:t>
      </w:r>
      <w:r>
        <w:rPr>
          <w:rFonts w:ascii="Times New Roman" w:cs="Times New Roman" w:eastAsia="Times New Roman" w:hAnsi="Times New Roman"/>
          <w:sz w:val="18"/>
          <w:szCs w:val="18"/>
          <w:color w:val="auto"/>
        </w:rPr>
        <w:t>. The Borrowers shall deliver to the Specified Financial Advisor and the DIP Agent (for delivery to the DIP Lenders) a rolling 13-week cash flow budget and cash flow projections of the Loan Parties that reflects on a line-item basis, separated by each prepetition securitization silo, Actual Cash Receipts and Actual Disbursement Amounts broken down by week (including Budgeted Cash Receipts and Budgeted Disbursement Amounts for such 13-week period) and the sum of weekly unrestricted cash on hand and cash in the Segregated Accounts, prepared by the Loan Parties in consultation with their financial advisors (the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(A) on or prior to the Closing Date and (B) on an updated basis by no later than 12:00 p.m. New York City time on the fourth Business Day of the week of every fourth calendar week thereafter (with, for the avoidance of doubt, the first such proposed budget becoming due on the fourth Business Day of the week after the week immediately following entry of the Interim DIP Order). Each Budget shall be subject to approval by, and in form and substance acceptable to the DIP Agent (at the written direction of the Required Lenders) (which approval may be conveyed to the Borrower and evidenced by email confirmation from the Specified Financial Advisor and the DIP Lenders hereby instruct the DIP Agent to conclusively rely on (and the DIP Agent shall be fully protected in doing so) such email confirmation without further approval from any Person). Upon the approval of the Budget as specified in the immediately preceding sentence, such Budget shall constitute the then-approved Approved Budget for all purposes hereunder and in the other DIP Loan Documents, effective as of the date of delivery of such Budget. Each Budget delivered to the Specified Financial Advisor and the DIP Agent (for delivery to the DIP Lenders) shall be accompanied by such supporting documentation as reasonably requested by the Specified Financial Advisor or the DIP Agent (at the written direction of Required Lenders). Each Budget shall be prepared in good faith, with reasonable due care and based upon assumptions which the Borrower believes to be reasonable at the time of delivery thereof. The Budget attached to the Interim DIP Order is the first Approved Budget.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ind w:firstLine="1304"/>
        <w:spacing w:after="0" w:line="251" w:lineRule="auto"/>
        <w:tabs>
          <w:tab w:leader="none" w:pos="15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Budget and Variances</w:t>
      </w:r>
      <w:r>
        <w:rPr>
          <w:rFonts w:ascii="Times New Roman" w:cs="Times New Roman" w:eastAsia="Times New Roman" w:hAnsi="Times New Roman"/>
          <w:sz w:val="18"/>
          <w:szCs w:val="18"/>
          <w:color w:val="auto"/>
        </w:rPr>
        <w:t>. Commencing on the second full-week following the entry of the Interim DIP Order and on a bi-weekly basis thereafter, and in any event not later than 5:00 p.m. New York City time on or prior to the fourth Business Day of each such week (each such delivery date, a “</w:t>
      </w:r>
      <w:r>
        <w:rPr>
          <w:rFonts w:ascii="Times New Roman" w:cs="Times New Roman" w:eastAsia="Times New Roman" w:hAnsi="Times New Roman"/>
          <w:sz w:val="18"/>
          <w:szCs w:val="18"/>
          <w:u w:val="single" w:color="auto"/>
          <w:color w:val="auto"/>
        </w:rPr>
        <w:t>Variance Report Date</w:t>
      </w:r>
      <w:r>
        <w:rPr>
          <w:rFonts w:ascii="Times New Roman" w:cs="Times New Roman" w:eastAsia="Times New Roman" w:hAnsi="Times New Roman"/>
          <w:sz w:val="18"/>
          <w:szCs w:val="18"/>
          <w:color w:val="auto"/>
        </w:rPr>
        <w:t>”), the Borrower shall deliver to the Specified Financial Advisor, the DIP Agent and the DIP Lenders, a variance report (each, a “</w:t>
      </w:r>
      <w:r>
        <w:rPr>
          <w:rFonts w:ascii="Times New Roman" w:cs="Times New Roman" w:eastAsia="Times New Roman" w:hAnsi="Times New Roman"/>
          <w:sz w:val="18"/>
          <w:szCs w:val="18"/>
          <w:u w:val="single" w:color="auto"/>
          <w:color w:val="auto"/>
        </w:rPr>
        <w:t>Variance Report</w:t>
      </w:r>
      <w:r>
        <w:rPr>
          <w:rFonts w:ascii="Times New Roman" w:cs="Times New Roman" w:eastAsia="Times New Roman" w:hAnsi="Times New Roman"/>
          <w:sz w:val="18"/>
          <w:szCs w:val="18"/>
          <w:color w:val="auto"/>
        </w:rPr>
        <w:t>”), and in a form acceptable to the Required Lenders in their sole discretion, setting forth in reasonable detail and showing separately for each (i) the FBG DIP Loan Parties on a consolidated basis and (ii) the Twin DIP Loan Parties on a consolidated basis: (x) on a line-by-line and aggregate basis, the Actual Cash Receipts and the Actual Disbursement Amounts, as of the last day of and immediately preceding rolling four-week period; (y) the aggregate disbursements for the Loan Parties’ administrative expenses in the Chapter 11 Cases (including professional fees) and (z) noting therein all variances, in dollar amounts and as a percentage, of the Actual Disbursement Amounts as of the last day of and immediately preceding rolling four-week period from the Budgeted Disbursement Amounts for such corresponding period as set forth in the Approved Budget as in effect for such period (such comparison on a consolidated basis for all Loan Parties, the “</w:t>
      </w:r>
      <w:r>
        <w:rPr>
          <w:rFonts w:ascii="Times New Roman" w:cs="Times New Roman" w:eastAsia="Times New Roman" w:hAnsi="Times New Roman"/>
          <w:sz w:val="18"/>
          <w:szCs w:val="18"/>
          <w:u w:val="single" w:color="auto"/>
          <w:color w:val="auto"/>
        </w:rPr>
        <w:t>Variance</w:t>
      </w:r>
      <w:r>
        <w:rPr>
          <w:rFonts w:ascii="Times New Roman" w:cs="Times New Roman" w:eastAsia="Times New Roman" w:hAnsi="Times New Roman"/>
          <w:sz w:val="18"/>
          <w:szCs w:val="18"/>
          <w:color w:val="auto"/>
        </w:rPr>
        <w:t>”). For each Variance Testing Period, on a consolidated basis for all Loan Parties, the Borrowers shall not permit (i) the Actual Disbursement Amounts to exceed, or (ii) the Actual Cash Receipts to be less than, in each case as compared to the applicable Budgeted Disbursement Amounts and Budgeted Cash Receipts for such period in the Approved Budget, the following thresholds (collectively, the “</w:t>
      </w:r>
      <w:r>
        <w:rPr>
          <w:rFonts w:ascii="Times New Roman" w:cs="Times New Roman" w:eastAsia="Times New Roman" w:hAnsi="Times New Roman"/>
          <w:sz w:val="18"/>
          <w:szCs w:val="18"/>
          <w:u w:val="single" w:color="auto"/>
          <w:color w:val="auto"/>
        </w:rPr>
        <w:t>Permitted Variances</w:t>
      </w:r>
      <w:r>
        <w:rPr>
          <w:rFonts w:ascii="Times New Roman" w:cs="Times New Roman" w:eastAsia="Times New Roman" w:hAnsi="Times New Roman"/>
          <w:sz w:val="18"/>
          <w:szCs w:val="18"/>
          <w:color w:val="auto"/>
        </w:rPr>
        <w:t xml:space="preserve">”): (A) for each part of each Variance Testing Period that falls within the first two full weeks following the entry of the Interim DIP Order, (1) one hundred fifteen percent (115%) with respect to Actual Disbursement Amounts and (2) eighty-five percent (85%) with respect to Actual Cash Receipts; (B) for each part of each Variance Testing Period that falls within the third full week following the entry of the Interim DIP Order, (1) one hundred twelve and one-half percent (112.5%) with respect to Actual Disbursement Amounts and (2) eighty-seven and one-half percent (87.5%) with respect to Actual Cash Receipts; and (C) for each part of each Variance Testing Period thereafter, (1) one hundred ten percent (110%) with respect to Actual Disbursement Amounts and (2) ninety percent (90%) with respect to Actual Cash Receipts (or, in each case, following an unforeseen material event, such other percentage requested by the Loan Parties and consented to by the DIP Agent (at the written direction of the Required Lenders, in their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determining compliance with the Permitted Variances with respect to Actual Disbursement Amounts for any Variance Testing Period, the Loan Parties may offset any Actual Disbursement Amounts attributable to restaurant operations that exceed the Budgeted Disbursement Amounts with any Actual Cash Receipts attributable to restaurant operations that exceed the Budgeted Cash Receipts, in each case for the same Variance Testing Period. For the avoidance of doubt, nothing in this Section 5 or any other section of this Agreement or any provision of any other Loan Document shall be construed to limit the timely payment of Allowed Professional fees (as defined in the DIP Order) that benefit from the Carve-Out as set forth in the DIP Order. Notwithstanding anything to the contrary in this Agreement, the Loan Parties shall not be deemed to have breached this Section 5(b) to the extent the actual professional fees, costs and expenses of the Loan Parties’ advisors, the DIP Agent’s advisors, the Prepetition Secured Parties’ advisors, and the advisors to the Official Committee (as defined in the DIP Order), respectively, exceed the applicable budgeted amounts for such fees, costs and expenses as set forth in the Approved Budget. The Borrowers shall test the Permitted Variance only in accordance with the then-operative Approved Budget.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ind w:left="420" w:hanging="236"/>
        <w:spacing w:after="0"/>
        <w:tabs>
          <w:tab w:leader="none" w:pos="4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Each Borrower hereby, on behalf of itself and each Loan Party, covenants and agrees: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4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DIP Agent or its agents and advisors (in each case, at the written direction of the Required Lenders), (x) during any period when no Event of Default has occurred and is continuing, upon not less than one (1) Business Day’s prior written notice and during regular business hours, not more than two (2) times per calendar month, and (y) upon the occurrence and during the continuance of an Event of Default, at any time during regular business hours and without prior notice, to enter and inspect each of the Loan Party’s assets and properties, and provide the DIP Agent and the agents or advisors full access to the books and records of the Loan Parties, and cause management thereof to fully cooperate with the DIP Agent, its agents and advisors accordingly;</w:t>
      </w:r>
    </w:p>
    <w:p>
      <w:pPr>
        <w:spacing w:after="0" w:line="187" w:lineRule="exact"/>
        <w:rPr>
          <w:rFonts w:ascii="Times New Roman" w:cs="Times New Roman" w:eastAsia="Times New Roman" w:hAnsi="Times New Roman"/>
          <w:sz w:val="18"/>
          <w:szCs w:val="18"/>
          <w:color w:val="auto"/>
        </w:rPr>
      </w:pPr>
    </w:p>
    <w:p>
      <w:pPr>
        <w:ind w:left="180" w:firstLine="652"/>
        <w:spacing w:after="0" w:line="282" w:lineRule="auto"/>
        <w:tabs>
          <w:tab w:leader="none" w:pos="109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the DIP Agent apprised on a timely basis of all material developments with respect to the business and affairs of the Loan Parties and their respective Subsidiaries;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5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DIP Agent with no less than two (2) Business Days’ notice of any motion, application or other filing to be brought or made by any Borrower or any other Loan Party in the Chapter 11 Cases or, where it is not practicable to do so, as much notice as is reasonably possible prior to any such filing to give the DIP Agent and the DIP Lenders a reasonable opportunity to review and comment on such draft materials before filing thereof or, where it is not practicable to do so, as much opportunity in the circumstances as is reasonably practicable to do;</w:t>
      </w:r>
    </w:p>
    <w:p>
      <w:pPr>
        <w:spacing w:after="0" w:line="183"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0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(A) in all respects with the DIP Order and the Bidding Procedures Order and use all the proceeds of the DIP Facility in a manner consistent with the restrictions set forth in this Agreement and the DIP Order, and (B) in all material respects with all other Bankruptcy Court orders in the Chapter 11 Cases;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7" w:lineRule="auto"/>
        <w:tabs>
          <w:tab w:leader="none" w:pos="11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the DIP Agent of (and, in any event, no later than two (2) Business Days after): (x) the occurrence of any Default or Event of Default and (y) any event that could reasonably be expected to (A) interfere with the Borrowers’ performance of their obligations hereunder in any material respect or in connection with any proposed sale of all or substantially all of the DIP Collateral or</w:t>
      </w:r>
    </w:p>
    <w:p>
      <w:pPr>
        <w:spacing w:after="0" w:line="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result in or cause a Material Adverse Effect;</w:t>
      </w:r>
    </w:p>
    <w:p>
      <w:pPr>
        <w:spacing w:after="0" w:line="206"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insurance in existence on the date hereof, with respect to the DIP Collateral;</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24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in all material respects with all applicable laws, rules and regulations applicable to their businesses, including, without limitation, environmental laws;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0" w:name="page111"/>
    <w:bookmarkEnd w:id="110"/>
    <w:p>
      <w:pPr>
        <w:ind w:left="180" w:firstLine="652"/>
        <w:spacing w:after="0" w:line="282" w:lineRule="auto"/>
        <w:tabs>
          <w:tab w:leader="none" w:pos="113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reasonable best efforts to obtain all material licenses and permits required for the operation of their businesses and to use reasonable best efforts to ensure such licenses and permits remain in full force and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0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and cause each Loan Party and their respective Subsidiaries to, comply in all material respects with all applicable statutes, regulations and orders of, and all applicable restrictions imposed by, all Governmental Authorities in respect of the conduct of its business and the ownership of its property (including applicable statutes, regulations, orders and restrictions relating to environmental standards and controls), except such non-compliances as could not, either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and cause each Loan Party and their respective Subsidiaries to, do or cause to be done, all things necessary to preserve and keep in full force and effect its existence and its material rights, franchises, licenses, permits, copyrights, trademarks and patents;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proceeds of the DIP Loans and Cash Collateral may be used by the Borrowers only for the following payments, and subject to the terms and conditions set forth herein, in the DIP Orders and, in each case, consistent with the applicable line item amounts set forth in the Approved Budget (subject to Permitted Variances and in the Stipulated Allocation): (A) necessary operating and working capital expenses of the Loan Parties to fulfill franchisee obligations (the funding of which shall be provided as an intercompany loan from the Loan Parties, subject to compliance with the DIP Order and Approved Budget); (B) the Borrowers’ post-petition administrative expenses in accordance with the Approved Budget (subject to Permitted Variances); (C) obligations arising under the Carve-Out; (D) the agency fees and reasonable fees and expenses of the DIP Agent and the DIP Lenders owed under the DIP Loan Documents; (E) any Prepetition Secured Obligations of the Loan Parties pursuant to any First Day Order, “second day” order or other Final Order reasonably approved by the Required Lenders; (F) to the extent necessary, to make intercompany loans from one Loan Party to another Loan Party, which shall be secured by liens senior to the DIP Liens, (G) to make payments under the Governance Agreement and (H) to fund the expenses of the Parent and the Twin Manager and to pay management fees as may be required under the Management Agreements in exchange for the provision of the management services (the “</w:t>
      </w:r>
      <w:r>
        <w:rPr>
          <w:rFonts w:ascii="Times New Roman" w:cs="Times New Roman" w:eastAsia="Times New Roman" w:hAnsi="Times New Roman"/>
          <w:sz w:val="18"/>
          <w:szCs w:val="18"/>
          <w:u w:val="single" w:color="auto"/>
          <w:color w:val="auto"/>
        </w:rPr>
        <w:t>Management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proceeds of the DIP Loans and the Cash Collateral being transferred to the Parent or the Twin Manager shall be subject to the Stipulated Allocation and be first applied to the payment of the Management Fees;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anything to the contrary set forth herein, the proceeds of the FBG New Money Term Loans shall be used only to pay the obligations of the FBG DIP Loan Parties and the proceeds of the Twin New Money Term Loans shall be used only to pay the obligations of the Twin DIP Loan Parties, in each case, subject to the Stipulated Allocation;</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1" w:name="page112"/>
    <w:bookmarkEnd w:id="111"/>
    <w:p>
      <w:pPr>
        <w:jc w:val="both"/>
        <w:ind w:left="180" w:firstLine="652"/>
        <w:spacing w:after="0" w:line="258" w:lineRule="auto"/>
        <w:tabs>
          <w:tab w:leader="none" w:pos="128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execute and deliver all further instruments and documents (including, without limitation, certificates, declarations, affidavits, reports and opinions) and take all further action that may be reasonably necessary, or that the DIP Agent (at the written direction of the Required Lenders) may reasonably require, to give effect to this Agreement, perfect and protect any DIP Lien or to enable the DIP Agent to exercise and enforce its rights and remedies with respect to the DIP Collateral, subject to the terms and conditions set forth in the DIP Order;</w:t>
      </w:r>
    </w:p>
    <w:p>
      <w:pPr>
        <w:spacing w:after="0" w:line="183"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detailed and accurate accounting and records of proceeds of the DIP Loans (including detailed accounting of</w:t>
      </w:r>
    </w:p>
    <w:p>
      <w:pPr>
        <w:spacing w:after="0" w:line="27"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Advances; and (B) the allocation of legal and other professional costs);</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8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operate its businesses in the ordinary course (subject to the terms of this Agreement and any limitations imposed as a result of operation as debtors-in-possession under the Bankruptcy Code) including (A) subject to entry of the cash management order, maintaining its existing bank accounts and not closing any bank accounts or creating any new bank accounts without the reasonable consent of the Required Lenders, (B) subject to entry of the cash management order, maintaining its existing cash management system,</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its registered office in the jurisdiction indicated in the notice provisions of the DIP Loan Documents to which it is party and not changing its name, the name under or by which it conducts its business, its organizational identification number, its jurisdiction of formation or organization, its type of organization or other legal structure or its chief executive office, and not permitting the documents and books in its possession or under its control evidencing the DIP Collateral to be moved, (D) without giving prior notice to the DIP Agent, not changing its accounting practices, policies, or treatment except to the extent required by applicable law, changes in GAAP or requirements of its independent accounts, (E) not becoming an “investment company” or a company “controlled” by an “investment company” within the meaning of the Investment Company Act of 1940, as amended, by virtue of an exemption other than pursuant to section 3(c)(l) or section 3(c)(7) thereof, (F) not becoming a “covered fund” under section 13 of the Bank Holding Company Act of 1956, as amended, and (G) not becoming an Affiliated Person of Axonic Alternative Income Fund or Axonic Strategic Income Fund, a series of Axonic Funds; and</w:t>
      </w:r>
    </w:p>
    <w:p>
      <w:pPr>
        <w:spacing w:after="0" w:line="192"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3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and cause its Subsidiaries to take, as applicable, each of the actions set forth on </w:t>
      </w:r>
      <w:r>
        <w:rPr>
          <w:rFonts w:ascii="Times New Roman" w:cs="Times New Roman" w:eastAsia="Times New Roman" w:hAnsi="Times New Roman"/>
          <w:sz w:val="18"/>
          <w:szCs w:val="18"/>
          <w:u w:val="single" w:color="auto"/>
          <w:color w:val="auto"/>
        </w:rPr>
        <w:t>Schedule 5(c)</w:t>
      </w:r>
      <w:r>
        <w:rPr>
          <w:rFonts w:ascii="Times New Roman" w:cs="Times New Roman" w:eastAsia="Times New Roman" w:hAnsi="Times New Roman"/>
          <w:sz w:val="18"/>
          <w:szCs w:val="18"/>
          <w:color w:val="auto"/>
        </w:rPr>
        <w:t xml:space="preserve"> hereto within the time period prescribed therefor on such schedule (as such time period may be extended by the Required Lenders in their reasonable discretion).</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2" w:name="page113"/>
    <w:bookmarkEnd w:id="112"/>
    <w:p>
      <w:pPr>
        <w:jc w:val="both"/>
        <w:ind w:firstLine="1304"/>
        <w:spacing w:after="0" w:line="256" w:lineRule="auto"/>
        <w:tabs>
          <w:tab w:leader="none" w:pos="15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Each Borrower hereby covenants and agrees, on behalf of itself and each Loan Party, on and after the effective date of this Agreement and until the date that the Commitment hereunder has terminated and the principal of and interest on each DIP Loans and all fees, expenses and other amounts payable under any DIP Loan Document (other than contingent indemnification obligations for which no claim or demand has been made) have been paid in full in cash, each Loan Party will not, and will not permit any of its Subsidiaries to (except to the extent the taking of any such action is expressly permitted, on a line item basis, in the Approved Budget (including with respect to the amount of such action, subject only to Permitted Variances)):</w:t>
      </w:r>
    </w:p>
    <w:p>
      <w:pPr>
        <w:spacing w:after="0" w:line="187"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Disposition other than Permitted Dispositions without the prior written reasonable consent of the Required Lenders and, as may be required by the Bankruptcy Code, an order of the Bankruptcy Court;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repudiate, terminate or disclaim any material contract without the prior written reasonable consent of the Required Lenders which would reasonably be expected to have a material adverse effect on the financial condition, operation or prospects of the Borrowers, the other Loan Parties and their respective Subsidiaries;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6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prepayment, purchase or defeasance (A) in respect of existing (i.e., in place prior to the Petition Date) or any other Indebtedness or other obligation (i.e., put in place on or after the Petition Date) or (B) otherwise prohibited by the DIP Order or any other DIP Loan Document, in each case, other than (x) the Obligations in accordance with this Agreement, and (y) the payment of interest and other non-principal amounts required under the Prepetition Notes to the extent such payments are permitted to be paid by orders of the Bankruptcy Court, in each case of each of clauses (x) and (y), as set forth in the Approved Budget or as may otherwise be permitted by an order of the Bankruptcy Court or consented to (in advance) in writing by the DIP Agent (at the written direction of the Required Lenders, acting reasonably); provided, that for the avoidance of doubt, no Indebtedness junior to the Obligations shall be paid without the prior written reasonable consent of the Ad Hoc Group;</w:t>
      </w:r>
    </w:p>
    <w:p>
      <w:pPr>
        <w:spacing w:after="0" w:line="191" w:lineRule="exact"/>
        <w:rPr>
          <w:rFonts w:ascii="Times New Roman" w:cs="Times New Roman" w:eastAsia="Times New Roman" w:hAnsi="Times New Roman"/>
          <w:sz w:val="18"/>
          <w:szCs w:val="18"/>
          <w:color w:val="auto"/>
        </w:rPr>
      </w:pPr>
    </w:p>
    <w:p>
      <w:pPr>
        <w:ind w:left="1300" w:firstLine="652"/>
        <w:spacing w:after="0" w:line="282" w:lineRule="auto"/>
        <w:tabs>
          <w:tab w:leader="none" w:pos="229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incur or suffer to exist any Indebtedness other than Permitted Indebtedness without the prior written reasonable consent of the Required Lenders;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Liens on any of its properties or assets other than Permitted Liens without the prior written reasonable consent of the Required Lenders and, as may be required by the Bankruptcy Code, an order of the Bankruptcy Court;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any compensation, termination, or severance entitlement whatsoever or pay any termination or severance pay to executives of any Loan Party or Subsidiary, each without the prior written consent of the Required Lenders and, as may be required by the Bankruptcy Code, an order of the Bankruptcy Court;</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31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amalgamate, consolidate with or merge into, dispose of all or substantially all of its assets, or enter into any similar transaction with any other entity without the prior written reasonable consent of the Required Lenders;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ind w:left="180" w:firstLine="652"/>
        <w:spacing w:after="0" w:line="266" w:lineRule="auto"/>
        <w:tabs>
          <w:tab w:leader="none" w:pos="124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materially delay an Acceptable Sale Process in accordance with the Milestones including, without limitation, filing any plan or other sale process in the Chapter 11 Cases without the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public announcement in respect of, enter into any agreement or letter of intent with respect to, attempt to consummate or support any third party’s attempt to consummate any transaction or agreement that would adversely impact the ability of the Loan Parties to consummate the Acceptable Sale Process or Bidding Procedures Order in accordance with the Milestones;</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09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hold any Investment other than Permitted Investments without the prior written reasonable consent of the Required Lenders and, as may be required by the Bankruptcy Code, an order of the Bankruptcy Court;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or make, directly or indirectly, any Restricted Payment without the prior written consent of the Required Lenders (other than dividends and distributions (x) by any Subsidiary of the Borrowers to the Borrowers or any other Subsidiary of the Borrowers that is a Loan Party in accordance with their applicable ownership percentage); (y) the proceeds of which will be used to pay franchise taxes and other fees, Taxes and expenses required to maintain its corporate or legal existence; and (z) for any taxable period in which a Borrower, for U.S. federal income tax purposes, (A) is disregarded as an entity separate from a direct or indirect owner that is taxable as a corporation or (B) is a member of a group filing a consolidated, combined, unitary, affiliated, or similar income tax return of which any direct or indirect owner of such Borrower is the common parent, as are necessary to permit such direct or indirect owner of such Borrower to pay the Tax liability (including payments of estimated taxes) attributable to such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distributions shall not, in the aggregate, exceed the amount of taxes that the Borrower would have been required to pay for such taxable period if it were the parent of a standalone affiliated group filing a consolidated tax return with its Subsidiaries, reduced by any amounts of tax paid directly by the Borrower or any of its Subsidiaries to the relevant taxing authority for the relevant taxable period with respect to any taxable income or gain of the Borrower and its Subsidiaries;</w:t>
      </w:r>
    </w:p>
    <w:p>
      <w:pPr>
        <w:spacing w:after="0" w:line="189" w:lineRule="exact"/>
        <w:rPr>
          <w:rFonts w:ascii="Times New Roman" w:cs="Times New Roman" w:eastAsia="Times New Roman" w:hAnsi="Times New Roman"/>
          <w:sz w:val="18"/>
          <w:szCs w:val="18"/>
          <w:color w:val="auto"/>
        </w:rPr>
      </w:pPr>
    </w:p>
    <w:p>
      <w:pPr>
        <w:ind w:left="180" w:firstLine="652"/>
        <w:spacing w:after="0" w:line="282" w:lineRule="auto"/>
        <w:tabs>
          <w:tab w:leader="none" w:pos="120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engaged in by the Borrowers and the Loan Parties on the date hereof, similar or related businesses without the written reasonable consent of the Required Lenders;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6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exist any transaction (including the purchase, sale, lease or exchange of any property or the rendering of any service) with any Affiliate on terms that are less favorable to the Loan Party or Subsidiary, as the case may be, than those that might be obtained at the time from Persons who are not such an Affiliate (as determined by the Borrower in good faith after consultation with the DIP Agent (at the written direction of the Required Lenders)), provided that this clause (xiii) shall not restrict or limit any Acceptable Sale Transaction pursuant to an Acceptable Sale Process;</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4" w:name="page115"/>
    <w:bookmarkEnd w:id="114"/>
    <w:p>
      <w:pPr>
        <w:jc w:val="both"/>
        <w:ind w:left="180" w:firstLine="652"/>
        <w:spacing w:after="0" w:line="261" w:lineRule="auto"/>
        <w:tabs>
          <w:tab w:leader="none" w:pos="12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after the date hereof to exist any contractual obligations (other than this Agreement and Permitted Liens) that limit the ability of (a) any Subsidiary to make Restricted Payments to the Borrowers or any Guarantor; or (b) any Loan Party to create, incur, answer or suffer to exist Liens on property or assets of such Person for the benefit of the DIP Agent with respect to the DIP Facility and the obligations hereunder;</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seek or consent to any reversal, modification, amendments, stay or vacation of (i) the Interim DIP Order, (ii) the Final DIP Order, (iii) the Bidding Procedures Order or (iv) the Sale Order, in each case, without the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2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seek or consent to a priority for any administrative expense against the Loan Parties (now existing or hereafter arising) of any kind or nature whatsoever (including, without limitation, any administrative expenses of the kind specified in, or ordered under, sections 105(a), 326, 328, 330, 331, 503(b), 506(c), 507, 546(c), 726, 1113 and 1114 of the Bankruptcy Code) equal to or superior to the priority of the DIP Agent in respect of the Obligations except as expressly permitted in the DIP Order;</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consent to a sale of any of the DIP Collateral other than Permitted Dispositions or pursuant to an Acceptable Sale Process or as otherwise permitted by this Agreement in each case without the prior written reasonable consent of the Required Lenders or, as may be required by the Bankruptcy Code or an order of the Bankruptcy Court;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3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divide into two or more Persons pursuant to a “plan of division” or similar method, or (B) create, or reorganize into, one or more Persons, in each case, as contemplated under the laws of any jurisdiction, in each case, except as may be required by the Bankruptcy Code or an order of the Bankruptcy Court;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Collateral, whether the proceeds of DIP Loans or otherwise, other than for purposes set forth in the Approved Budget, notwithstanding any other provision of this Agreement, or in amounts that exceed the Permitted Variances, without the prior written consent of the Required Lenders; provided that any amounts allocated in the Approved Budget to a key employee retention program shall not be paid or awarded without the prior written consent of the Required Lenders but shall be in accordance with the Stipulated Allocation; or</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approval of any order in the Chapter 11 Cases that materially and adversely affects the DIP Lenders (in their capacity as such) or the Loan Parties’ ability to perform their obligations and violate this Agreement, the DIP Facility, and any other related DIP Loan Documents without the prior written approval of the DIP Agent, acting at the direction of the Required Lenders.</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5" w:name="page116"/>
    <w:bookmarkEnd w:id="1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nothing in this Section 5(d) and nothing else in this Agreement or any other DIP Loan Document shall be construed to prohibit transactions specified in, or contemplated by, the Sale Order and the consummation of any transaction in the Sale Order shall not be deemed to cause any breach, Default or Event of Default under this Agreement or any other DIP Loan Document.</w:t>
      </w:r>
    </w:p>
    <w:p>
      <w:pPr>
        <w:spacing w:after="0" w:line="176" w:lineRule="exact"/>
        <w:rPr>
          <w:sz w:val="20"/>
          <w:szCs w:val="20"/>
          <w:color w:val="auto"/>
        </w:rPr>
      </w:pPr>
    </w:p>
    <w:p>
      <w:pPr>
        <w:ind w:firstLine="1304"/>
        <w:spacing w:after="0" w:line="282" w:lineRule="auto"/>
        <w:tabs>
          <w:tab w:leader="none" w:pos="155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Each Loan Party hereby covenants and agrees to comply with the milestones (the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5(e)</w:t>
      </w:r>
      <w:r>
        <w:rPr>
          <w:rFonts w:ascii="Times New Roman" w:cs="Times New Roman" w:eastAsia="Times New Roman" w:hAnsi="Times New Roman"/>
          <w:sz w:val="18"/>
          <w:szCs w:val="18"/>
          <w:color w:val="auto"/>
        </w:rPr>
        <w:t>, unless otherwise agreed to in writing (email being sufficient)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3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Covenants</w:t>
      </w:r>
      <w:r>
        <w:rPr>
          <w:rFonts w:ascii="Times New Roman" w:cs="Times New Roman" w:eastAsia="Times New Roman" w:hAnsi="Times New Roman"/>
          <w:sz w:val="18"/>
          <w:szCs w:val="18"/>
          <w:color w:val="auto"/>
        </w:rPr>
        <w:t>. Each Borrower hereby further covenants and agrees, on behalf of itself and the Loan Parties, to comply with the following (subject, in each case, to the Bidding Procedures Order or other court order):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communicate directly with and make itself reasonably available to the DIP Agent and its Representatives following the occurrence of the Milestone specified in clause (vi) of </w:t>
      </w: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 xml:space="preserve"> hereof, at such times as may be requested by the DIP Agent or its Representatives, in connection with effecting an Acceptable Sale Transaction;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provide the DIP Agent with notice of any knowledge of (x) any material change or development relating to the Bidding Procedures or such Acceptable Sale Transaction, or (y) any material changes in the financial, collateral or operational condition, businesses, assets, liabilities or prospects of any Loan Parties;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8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provide the DIP Agent with unredacted copies of all written materials provided to or produced by the Loan Parties or their Representatives to potential bidders in connection with any potential Acceptable Sale Transaction (which obligation may be satisfied in full by providing the DIP Agent or DIP Lender with access to the virtual data room to which such bidders have been granted access to such materials);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Loan Parties and their Representatives reasonably available for presentation to, and interviews, meetings or calls with, each bona fide prospective purchaser, lender or investor in connection with a potential Acceptable Sale Transaction as reasonably determined by the Borrowers in good faith;</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DIP Agent, DIP Lender and any of its Representatives with reasonable access rights and review rights at all times to virtual data rooms and any other information provided to potential bidders in connection with a potential Acceptable Sale Transaction;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both"/>
        <w:ind w:left="1300" w:firstLine="652"/>
        <w:spacing w:after="0" w:line="261" w:lineRule="auto"/>
        <w:tabs>
          <w:tab w:leader="none" w:pos="226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Loan Parties and their Representatives available for (with reasonable prior notice and at reasonable times), and host, telephonic conference calls with the DIP Agent, the DIP Lenders, and/or their Representatives, to discuss the general status of the potential Acceptable Sale Transaction, in each case no less frequently than weekly to the extent requested by the DIP Agent (at the written direction of the Required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Approved Budget</w:t>
      </w:r>
      <w:r>
        <w:rPr>
          <w:rFonts w:ascii="Times New Roman" w:cs="Times New Roman" w:eastAsia="Times New Roman" w:hAnsi="Times New Roman"/>
          <w:sz w:val="18"/>
          <w:szCs w:val="18"/>
          <w:color w:val="auto"/>
        </w:rPr>
        <w:t>. Each Borrower hereby further covenants and agrees, on behalf of itself and the Loan Parties, that the use of DIP Loans and other credit extensions by DIP Lenders under this Agreement and the other DIP Loan Documents shall be consistent with the latest Approved Budget approved in accordance with Section 5(a), subject to the Permitted Variance.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Performance of Services</w:t>
      </w:r>
      <w:r>
        <w:rPr>
          <w:rFonts w:ascii="Times New Roman" w:cs="Times New Roman" w:eastAsia="Times New Roman" w:hAnsi="Times New Roman"/>
          <w:sz w:val="18"/>
          <w:szCs w:val="18"/>
          <w:color w:val="auto"/>
        </w:rPr>
        <w:t>. In consideration of the DIP Lenders making available the DIP Facility to each Borrower, the Parent and the Twin Manager shall perform the servicing and administration of each Loan Party’s assets in a manner consistent with the Approved Budget, including, without limitation: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9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duties and obligations of, and exercising and enforcing the rights of, the Loan Parties under agreements material to their business (including franchise agreements, development agreements and related documents), including preparing and delivering any reports, filings, instruments, certificates and notices required thereunder, making or causing the collection of amounts owing thereunder, enforcing the Loan Parties’ rights and obligations thereunder, and approving amendments, waivers, modifications, extensions, write-downs, write-offs, terminations and assignments thereof;</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those actions that are required to maintain continuous perfection (where applicable) and priority of the DIP Agent’s interests in the DIP Collateral (but not, for the avoidance of doubt, any Excluded Asset), in accordance with the DIP Order and the terms of this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7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maintaining, protecting, enforcing, defending, leasing and undertaking such other duties and services as may be necessary in connection with real estate assets on behalf of each Loan Party, including negotiating, executing and recording leases, subleases, deeds and other contracts relating to real estate assets, enforcing and exercising each Loan Party’s rights under leases, paying or defending any obligation or claim relating to any real estate assets, collecting amounts payable under real estate assets, acquiring and disposing of real estate assets, conducting environmental evaluation and remediation activities, obtaining appropriate levels of title and property insurance, making repairs and replacements to existing improvements and constructing new improvements, employing agents, managers, brokers or other persons necessary to manage and operate real estate assets, and paying taxes, charges and assessments levied on any real estate assets;</w:t>
      </w:r>
    </w:p>
    <w:p>
      <w:pPr>
        <w:spacing w:after="0" w:line="19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and compiling information required in connection with any report or certificate to be delivered under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ind w:left="1300" w:firstLine="652"/>
        <w:spacing w:after="0" w:line="258" w:lineRule="auto"/>
        <w:tabs>
          <w:tab w:leader="none" w:pos="222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bankruptcy law, the terms of the DIP Orders and any required approval or order by the Bankruptcy Court, preparing and filing all tax returns and tax reports required to be prepared by any Loan Party, and paying or causing to be paid or discharged, in each case from funds of the Loan Parties in accordance with the Approved Budget, any and all taxes, charges and assessments required to be paid under applicable law by any Loan Party, except to the extent such payment is stayed by the commencement of the Chapter 11 Cases;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8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all material duties and obligations of the Loan Parties in connection with operations and ownership of the restaurants, including (x) paying taxes, collecting revenues, maintaining property and casualty insurance, and performing activities necessary for operation, development, acquisition, closure and disposition of restaurants, (y) hiring, training and managing restaurant employees, administering personnel and human resources, and negotiating with vendors, suppliers, distributors and other third parties and</w:t>
      </w:r>
    </w:p>
    <w:p>
      <w:pPr>
        <w:spacing w:after="0" w:line="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repairs and maintenance and maintaining liquor licenses;</w:t>
      </w:r>
    </w:p>
    <w:p>
      <w:pPr>
        <w:spacing w:after="0" w:line="206"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0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franchise disclosure documents complying with franchise industry specific government regulation and applicable law;</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7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legal, accounting and tax services with respect to each Loan Party’s assets, including with respect to the enforcement of each Loan Party’s material agreements;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or providing accounting and financial reporting services;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4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developing, managing, maintaining, protecting, enforcing, defending, licensing, and sublicensing the owned intellectual property and other intellectual property owned or held by each Loan Party, including filing, prosecuting and maintaining trademark and patent applications and registrations worldwide, monitoring, policing and enforcing the owned intellectual property against infringement and unauthorized use, confirming legal title and recording security interests in the owned intellectual property, and administering quality control over licensees’ use of licensed trademarks;</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marketing and promotional programs relating to the restaurants;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0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services as may be necessary or appropriate from time to time and consistent with (i) the operations of the Loan Parties and (ii) the Management Agreements (notwithstanding the termination of them).</w:t>
      </w:r>
    </w:p>
    <w:p>
      <w:pPr>
        <w:spacing w:after="0" w:line="162" w:lineRule="exact"/>
        <w:rPr>
          <w:sz w:val="20"/>
          <w:szCs w:val="20"/>
          <w:color w:val="auto"/>
        </w:rPr>
      </w:pPr>
    </w:p>
    <w:p>
      <w:pPr>
        <w:jc w:val="both"/>
        <w:ind w:firstLine="1304"/>
        <w:spacing w:after="0" w:line="255" w:lineRule="auto"/>
        <w:tabs>
          <w:tab w:leader="none" w:pos="15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 or anything else in this Agreement or any other DIP Loan Document, in no way shall any Budget (including any Approved Budget), the Carve-Out or any other budget or financial be construed as a cap or limitation on the amount of professional fees due and payable by the Borrower and its Subsidiaries consistent with the DIP Loan Documents and that may be allowed by the Bankruptcy Court at any time (including on an interim basis). The Borrower and its Subsidiaries’ authority to use cash collateral or proceeds of the DIP Facility or the DIP Collateral on account of, and to timely pay, such allowed professional fees of the Borrower and its Subsidiaries and the other obligations benefitting from the Carve-Out shall in no way (i) be limited or deemed limited by any Budget or (ii) cause a breach, Default or Event of Default under this Agreement or any other Loan Document.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The occurrence of any one or more of the following events, regardless of the reason therefore, shall constitute an “</w:t>
      </w:r>
      <w:r>
        <w:rPr>
          <w:rFonts w:ascii="Times New Roman" w:cs="Times New Roman" w:eastAsia="Times New Roman" w:hAnsi="Times New Roman"/>
          <w:sz w:val="18"/>
          <w:szCs w:val="18"/>
          <w:u w:val="single" w:color="auto"/>
          <w:color w:val="auto"/>
        </w:rPr>
        <w:t>Event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hereunder:</w:t>
      </w:r>
    </w:p>
    <w:p>
      <w:pPr>
        <w:spacing w:after="0" w:line="207" w:lineRule="exact"/>
        <w:rPr>
          <w:sz w:val="20"/>
          <w:szCs w:val="20"/>
          <w:color w:val="auto"/>
        </w:rPr>
      </w:pPr>
    </w:p>
    <w:p>
      <w:pPr>
        <w:ind w:right="20" w:firstLine="1304"/>
        <w:spacing w:after="0" w:line="282" w:lineRule="auto"/>
        <w:tabs>
          <w:tab w:leader="none" w:pos="155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Borrowers to pay any principal when due, whether at stated maturity, by acceleration, by required prepayment or otherwise, or shall fail to pay any installment of interest, fee or other amount payable hereunder within three (3) Business Days of the date when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statement made or deemed made by or on behalf of any Loan Party herein or in any other DIP Loan Document or other document related hereto or thereto or in any certificate delivered to the DIP Agent pursuant hereto shall prove to be untrue in any material respect (or, in the case of any representation, warranty or statement qualified by materiality, in any respect) on the date as of which made or deemed made;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or any of their respective Subsidiaries fail to perform or observe any term, covenant or agreement contained in any of Sections 5(a), 5(b), 5(c)(iii), 5(c)(iv), 5(c)(v), 5(c)(vi), 5(c)(xii), 5(d), 5(e) (including as the result of the failure of any Milestone to be timely satisfied), 5(f), 5(g) or 5(h); provided, however that, any Debtor’s failure to meet any Milestone that requires a hearing date solely due to the Bankruptcy Court’s unavailability shall not constitute an immediate Event of Default unless such failure continues for five (5) Business Days after the date on which such Milestone was required to be satisfied;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or any of their respective Subsidiaries fail to perform or observe any other provision of this Agreement or any other DIP Loan Document (other than those set forth in clauses (a), (b) and (c) above) and such default shall continue unremedied for a period of five (5) days after the earlier of (i) the date on which such Default shall first actually become known to any officer of any Borrower or any other Loan Party or (ii) the date on which written notice thereof is given to the defaulting party by the DIP Lender;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(i) converting any of the Chapter 11 Cases to a case under chapter 7 of the Bankruptcy Code, or (ii) dismissing any of the Chapter 11 Cases;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Bankruptcy Court of, or the expiration of, the exclusive period for the Debtors to file a plan of reorganization in the Chapter 11 Cases as set forth in section 1121 of the Bankruptcy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 obtains any post-petition debtor-in-possession financing pursuant to section 364 of the Bankruptcy Code other than the DIP Facility, or (ii) seeks authorization from the Bankruptcy Court to obtain any such financing, in each case, without the prior written consent of the Required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9" w:name="page120"/>
    <w:bookmarkEnd w:id="119"/>
    <w:p>
      <w:pPr>
        <w:jc w:val="both"/>
        <w:ind w:firstLine="1304"/>
        <w:spacing w:after="0" w:line="266" w:lineRule="auto"/>
        <w:tabs>
          <w:tab w:leader="none" w:pos="15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any order by the Bankruptcy Court reversing, amending, supplementing, staying for a period of ten (10) days or more, vacating or otherwise amending, supplementing or modifying the DIP Order, Sale Order, or Bidding Procedures Order, without the prior written consent of the Required Lenders;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DIP Order or the Final DIP Order, as applicable, shall cease to create valid and perfected Liens on the DIP Collateral with the priority set forth therein or otherwise cease to be valid and binding and in full force and effect;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seek entry of an order that the DIP Agent or the DIP Lenders are not entitled to Credit Bid in full the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enter an order or orders granting relief from the automatic stay applicable under section 362 of the Bankruptcy Code pertaining to the DIP Collateral to the holder or holders of any security interest (other than a holder or holders of a security interest ranking senior in priority to the DIP Liens securing the DIP Loans) to (i) permit foreclosure (or the granting of a deed or lieu of foreclosing or the like) on any assets of the Loan Parties which would materially delay the consummation of an Acceptable Sale Transaction or (ii) permit the exercise of any other rights or remedies against any of the DIP Collateral (unless constituting a sale, Disposition or other disposition not prohibited by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orders (other than orders, judgments or decrees related to the payment of professional advisors) or decrees for the payment of money required to be satisfied as an administrative expense claim in the Chapter 11 Cases shall be allowed by the Bankruptcy Court in an aggregate amount (to the extent not paid or covered by insurance) that is reasonably expected to cause the Loan Parties to fail to comply (subject to Permitted Variances and any applicable grace and/or cure period) with the requirements set forth in Section 5(b) 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1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asserted (by any Loan Party or any Affiliate thereof) invalidity or impairment of this Agreement or any related DIP Loan Document (including the failure of any Lien to remain perfected);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any Loan Party with the terms of the Interim DIP Order and/or the Final DIP Order;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Debtor files, amends or modifies, or files a pleading seeking approval of, any material order or document approved in the Chapter 11 Cases in a manner that is directly inconsistent with the DIP Agent or DIP Lenders’ consent and approval rights under this Agreement and the other DIP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enters an order or orders (i) to sell, transfer, lease, exchange, alienate or otherwise dispose of any of the DIP Collateral pursuant to section 363 of the Bankruptcy Code or otherwise other than pursuant to an Acceptable Sale Transaction in accordance with an Acceptable Sale Process, as permitted by this Agreement or with the reasonable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Parties shall take any action in support of any matter set forth in Sections 6(e), (f), (i), (l) or (n) or any other Person shall do so and such application is not contested in good faith by the Loan Parties and the relief requested is granted in an order that not stayed pending appeal;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ind w:firstLine="1304"/>
        <w:spacing w:after="0" w:line="282" w:lineRule="auto"/>
        <w:tabs>
          <w:tab w:leader="none" w:pos="15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file a motion, pleading or proceeding which would reasonably be expected to result in a material impairment of the rights or interests of the DIP Lenders under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Borrowers or the Loan Parties change the membership or composition of its board of directors, or the membership of the Special Committee, from the membership on the Closing Date, unless approved by the DIP Agent (at the written direction of the Required Lenders, acting reasonably);</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with respect to any of the Loan Parties other than as a result of a Permitted Disposition;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use of Cash Collateral pursuant to the DIP Order other than as provided in this Agreement and the DIP Orders;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Parties shall seek to, join or support (whether by way of motion or other pleadings filed with the Bankruptcy Court or any other writing executed by any Loan Party or by oral argument) any other person in seeking to: (i) contest or disallow in whole or in part any of the Obligations arising under this Agreement or any other DIP Loan Document (or any such order is entered), or the claims of the DIP Lenders arising under the Prepetition Notes Documents or (ii) challenge the validity, enforceability or perfection of the Liens or security interests granted or confirmed herein or in the Interim DIP Order or the Final DIP Order and the other security documents in favor of the Secured Parties or the Liens securing the applicable Obligations of the Loan Parties or their obligations to the DIP Lenders under the Prepetition Notes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make any payment (as adequate protection or otherwise), or application for authority to pay, on account of any claim or debt arising prior to the Petition Date other than payments expressly authorized pursuant to this Agreement or by the Bankruptcy Court in the Interim DIP Order, the Final DIP Order, any First Day Orders or “second day” order entered by the Bankruptcy Court in the Bankruptcy Cases (subject to the Approved Budget and Permitted Variances), by any other orders entered by the Bankruptcy Court (subject to the Approved Budget and Permitted Variances), or in amounts consistent with the Approved Budget (subject to Permitted Variances);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is enjoined, restrained or in any way prevented by an order of a court of competent jurisdiction (other than an order of the Bankruptcy Court approved by the Required Lenders) from continuing to conduct all or any material part of its business or affairs for a period exceeding five (5) consecutive Business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file or support any motion, pleading, application or adversary proceeding (a) challenging the validity, enforceability, perfection or priority of, or seeking to avoid and recover, the Liens securing the Prepetition Secured Obligations or (b) seeking disallowance, in full or in part, of the claims of the members of the Ad Hoc Group on account of the Prepetition Notes held by the DIP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jc w:val="both"/>
        <w:ind w:firstLine="1304"/>
        <w:spacing w:after="0" w:line="267" w:lineRule="auto"/>
        <w:tabs>
          <w:tab w:leader="none" w:pos="15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the terms of the Governance Agreement by any party other than the Ad Hoc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Loan Parties are actively seeking to enforce the terms of the Governance Agreement with respect to a breach by a party other than the Ad Hoc Group or any Debtor, then there shall not be a Default or Event of Default under this Section 6(z); or</w:t>
      </w:r>
    </w:p>
    <w:p>
      <w:pPr>
        <w:spacing w:after="0" w:line="175" w:lineRule="exact"/>
        <w:rPr>
          <w:sz w:val="20"/>
          <w:szCs w:val="20"/>
          <w:color w:val="auto"/>
        </w:rPr>
      </w:pPr>
    </w:p>
    <w:p>
      <w:pPr>
        <w:jc w:val="both"/>
        <w:ind w:firstLine="1304"/>
        <w:spacing w:after="0" w:line="266" w:lineRule="auto"/>
        <w:tabs>
          <w:tab w:leader="none" w:pos="16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 Issuer (as defined in the DIP Order) requires, directs, or otherwise causes any cash constituting Management Fees to be withheld, redirected, or removed from the working capital of any of the Debtors without the prior written consent of the DIP Agent (at the written direction of the Required Lenders).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Upon the occurrence and continuance of any Event of Default, the DIP Agent (at the written direction of the Required Lenders) may (notwithstanding the provisions of section 362 of the Bankruptcy Code and without application or motion to, or order from, the Bankruptcy Court), subject to the terms, conditions and provisions of the DIP Order (including the Remedies Notice Period (as defined therein)), by notice to the Borrowers, declare the Commitment to be terminated forthwith, whereupon the Commitment shall immediately terminate, and/or, by notice to the Borrowers, declare the DIP Loans hereunder, with accrued interest thereon, and all other Obligations owed under this Agreement and the other DIP Loan Documents to be due and payable forthwith, whereupon the same shall immediately become due and payable. Except as expressly provided above in this Section 6, presentment, demand, protest and all other notices of any kind are hereby expressly waived.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Further upon the occurrence and during the continuance of any Event of Default and subject to the terms of the DIP Order (including the Remedies Notice Period (as defined therein)), the DIP Agent (at the written direction of the Required Lenders), may (i) exercise all of its rights and remedies set forth in any of the DIP Loan Documents and the DIP Order, in addition to all rights and remedies allowed under any applicable law, including the UCC, and (ii) revoke the rights of the Borrowers and the other Loan Parties to use Cash Collateral. The enumeration of the foregoing rights and remedies is not intended to be exhaustive and the exercise of any right or remedy shall not preclude the exercise of any other rights or remedies, all of which shall be cumulative and not alternative.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DIP Order (if applicable) (including, without limitation, the Carve-Out ranking senior thereto), after the exercise of remedies provided for in this Agreement and the other DIP Loan Documents with respect to the FBG DIP Obligations (or after the DIP Loans provided by the FBG DIP Lenders have automatically become immediately due and payable), including in any bankruptcy or insolvency proceeding, any amounts received on account of the FBG DIP Obligations (including from the realization, collection or enforcement of the FBG DIP Collateral) shall be applied by the DIP Agent to the FBG DIP Obligations, in the following order:</w:t>
      </w:r>
    </w:p>
    <w:p>
      <w:pPr>
        <w:spacing w:after="0" w:line="181" w:lineRule="exact"/>
        <w:rPr>
          <w:sz w:val="20"/>
          <w:szCs w:val="20"/>
          <w:color w:val="auto"/>
        </w:rPr>
      </w:pPr>
    </w:p>
    <w:p>
      <w:pPr>
        <w:jc w:val="both"/>
        <w:ind w:firstLine="1304"/>
        <w:spacing w:after="0" w:line="267" w:lineRule="auto"/>
        <w:tabs>
          <w:tab w:leader="none" w:pos="1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to payment or reimbursement of all fees, expenses, indemnities, costs, losses and other amounts and obligations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Agent under the DIP Loan Documents, solely to the extent attributable to or arising in connection with the FBG DIP Facility, the FBG DIP Loan Parties or the FBG DIP Collateral;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2" w:name="page123"/>
    <w:bookmarkEnd w:id="122"/>
    <w:p>
      <w:pPr>
        <w:jc w:val="both"/>
        <w:ind w:firstLine="1304"/>
        <w:spacing w:after="0" w:line="261" w:lineRule="auto"/>
        <w:tabs>
          <w:tab w:leader="none" w:pos="15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FBG DIP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and interest) payable to the FBG DIP Lenders under the DIP Loan Documents, including attorneys’ fees and expenses and the fees and expenses of the Specified Financial Advisor, in each case ratably among the FBG DIP Lenders in proportion to the respective amounts described in this clause (b) payable to them;</w:t>
      </w:r>
    </w:p>
    <w:p>
      <w:pPr>
        <w:spacing w:after="0" w:line="179" w:lineRule="exact"/>
        <w:rPr>
          <w:rFonts w:ascii="Times New Roman" w:cs="Times New Roman" w:eastAsia="Times New Roman" w:hAnsi="Times New Roman"/>
          <w:sz w:val="18"/>
          <w:szCs w:val="18"/>
          <w:color w:val="auto"/>
        </w:rPr>
      </w:pPr>
    </w:p>
    <w:p>
      <w:pPr>
        <w:ind w:right="20" w:firstLine="1304"/>
        <w:spacing w:after="0" w:line="284" w:lineRule="auto"/>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FBG DIP Obligations constituting accrued and unpaid interest on the DIP Loans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FBG DIP Lenders, ratably among the FBG DIP Lenders in proportion to the respective amounts described in this clause (c) payable to them;</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FBG DIP Obligations constituting unpaid principal of the DIP Loans provided by the FBG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Lenders, applied in the following order:</w:t>
      </w:r>
    </w:p>
    <w:p>
      <w:pPr>
        <w:spacing w:after="0" w:line="158" w:lineRule="exact"/>
        <w:rPr>
          <w:rFonts w:ascii="Times New Roman" w:cs="Times New Roman" w:eastAsia="Times New Roman" w:hAnsi="Times New Roman"/>
          <w:sz w:val="18"/>
          <w:szCs w:val="18"/>
          <w:color w:val="auto"/>
        </w:rPr>
      </w:pPr>
    </w:p>
    <w:p>
      <w:pPr>
        <w:ind w:left="1300" w:right="20" w:firstLine="652"/>
        <w:spacing w:after="0" w:line="284" w:lineRule="auto"/>
        <w:tabs>
          <w:tab w:leader="none" w:pos="216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repayment of the outstanding principal of the FBG New Money Term Loans, ratably among the FBG DIP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FBG New Money Term Loans in proportion to the respective amounts outstanding;</w:t>
      </w:r>
    </w:p>
    <w:p>
      <w:pPr>
        <w:spacing w:after="0" w:line="158"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1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repayment of the outstanding principal of the Roll-Up Loans under the FBG Roll-Up Financing;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Roll-Up Loans shall only be repaid from amounts received from FBG DIP Loan Parties that were obligors under the FBG Prepetition Notes Documents and whose FBG Prepetition Secured Obligations (attributable to the FBG Class A-2 Prepetition Notes) were subject to the relevant FBG Roll-Up Financing, in each case ratably among the FBG DIP Lenders holding Roll-Up Loans under the FBG Roll-Up Financing in proportion to their respective principal amounts outstanding; and</w:t>
      </w:r>
    </w:p>
    <w:p>
      <w:pPr>
        <w:spacing w:after="0" w:line="183" w:lineRule="exact"/>
        <w:rPr>
          <w:rFonts w:ascii="Times New Roman" w:cs="Times New Roman" w:eastAsia="Times New Roman" w:hAnsi="Times New Roman"/>
          <w:sz w:val="18"/>
          <w:szCs w:val="18"/>
          <w:color w:val="auto"/>
        </w:rPr>
      </w:pPr>
    </w:p>
    <w:p>
      <w:pPr>
        <w:ind w:firstLine="1304"/>
        <w:spacing w:after="0" w:line="284" w:lineRule="auto"/>
        <w:tabs>
          <w:tab w:leader="none" w:pos="15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after all of the FBG DIP Obligations have been indefeasibly paid in full and all FBG Commitments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to the Borrower or as otherwise required by applicable law.</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amounts received from or attributable to FBG DIP Collateral shall not be applied to satisfy any Twin DIP Obligations, and amounts applied pursuant to the foregoing shall not reduce or otherwise affect any Twin DIP Obligations outstanding under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DIP Order (if applicable) (including, without limitation, the Carve-Out ranking senior thereto), after the exercise of remedies provided for in this Agreement and the other DIP Loan Documents with respect to the Twin DIP Obligations (or after the DIP Loans provided by the Twin DIP Lenders have automatically become immediately due and payable), including in any bankruptcy or insolvency proceeding, any amounts received on account of the Twin DIP Obligations (including from the realization, collection or enforcement of the Twin DIP Collateral) shall be applied by the DIP Agent to the Twin DIP Obligations, in the following order:</w:t>
      </w:r>
    </w:p>
    <w:p>
      <w:pPr>
        <w:spacing w:after="0" w:line="181" w:lineRule="exact"/>
        <w:rPr>
          <w:sz w:val="20"/>
          <w:szCs w:val="20"/>
          <w:color w:val="auto"/>
        </w:rPr>
      </w:pPr>
    </w:p>
    <w:p>
      <w:pPr>
        <w:jc w:val="both"/>
        <w:ind w:firstLine="1304"/>
        <w:spacing w:after="0" w:line="267" w:lineRule="auto"/>
        <w:tabs>
          <w:tab w:leader="none" w:pos="1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or reimbursement of all fees, expenses, indemnities, costs, losses and other amounts and obligations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Agent under the DIP Loan Documents, solely to the extent attributable to or arising in connection with the Twin DIP Facility, the Twin DIP Loan Parties or the Twin DIP Collateral;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3" w:name="page124"/>
    <w:bookmarkEnd w:id="123"/>
    <w:p>
      <w:pPr>
        <w:jc w:val="both"/>
        <w:ind w:firstLine="1304"/>
        <w:spacing w:after="0" w:line="261" w:lineRule="auto"/>
        <w:tabs>
          <w:tab w:leader="none" w:pos="15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Twin DIP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and interest) payable to the Twin DIP Lenders under the DIP Loan Documents, including attorneys’ fees and expenses and the fees and expenses of the Specified Financial Advisor, in each case ratably among the Twin DIP Lenders in proportion to the respective amounts described in this clause (b) payable to them;</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Twin DIP Obligations constituting accrued and unpaid interest on the DIP Loans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Twin DIP Lenders, ratably among the Twin DIP Lenders in proportion to the respective amounts described in this clause (c) payable to them;</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Twin DIP Obligations constituting unpaid principal of the DIP Loans provided by the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Lenders, applied in the following order:</w:t>
      </w:r>
    </w:p>
    <w:p>
      <w:pPr>
        <w:spacing w:after="0" w:line="158" w:lineRule="exact"/>
        <w:rPr>
          <w:rFonts w:ascii="Times New Roman" w:cs="Times New Roman" w:eastAsia="Times New Roman" w:hAnsi="Times New Roman"/>
          <w:sz w:val="18"/>
          <w:szCs w:val="18"/>
          <w:color w:val="auto"/>
        </w:rPr>
      </w:pPr>
    </w:p>
    <w:p>
      <w:pPr>
        <w:ind w:left="1300" w:firstLine="652"/>
        <w:spacing w:after="0" w:line="284" w:lineRule="auto"/>
        <w:tabs>
          <w:tab w:leader="none" w:pos="227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repayment of the outstanding principal of the Twin New Money Term Loans, ratably among the Twin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holding Twin New Money Term Loans in proportion to the respective principal amounts outstanding;</w:t>
      </w:r>
    </w:p>
    <w:p>
      <w:pPr>
        <w:spacing w:after="0" w:line="158"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25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subject to the Twin Roll-Up Reservation, to the repayment of the outstanding principal of the Roll-Up Loans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Twin Senior Roll-Up Financing; provided that such Roll-Up Loans shall only be repaid from amounts received from Twin DIP Loan Parties that were obligors under the Twin Prepetition Notes Documents and whose Twin Class A-2 Prepetition Secured Obligations (attributable to the Twin Class A-2-I Notes) were subject to the relevant Twin Senior Roll-Up Financing, in each case ratably among the Twin DIP Lenders holding Roll-Up Loans under the Twin Senior Roll-Up Financing in proportion to their respective principal amounts outstanding;</w:t>
      </w:r>
    </w:p>
    <w:p>
      <w:pPr>
        <w:spacing w:after="0" w:line="182"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20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subject to the Twin Roll-Up Reservation, to the repayment of the outstanding principal of the Roll-Up Loans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Twin Junior Roll-Up Financing; provided that such Roll-Up Loans shall only be repaid from amounts received from Loan Parties that were obligors under the Twin Prepetition Notes Documents and whose Twin Class A-2 Prepetition Secured Obligations (attributable to the Twin Class A-2-II Notes) were subject to the relevant Twin Junior Roll-Up Financing, in each case ratably among the Twin DIP Lenders holding Roll-Up Loans under the Twin Junior Roll-Up Financing in proportion to their respective principal amounts outstanding; and</w:t>
      </w:r>
    </w:p>
    <w:p>
      <w:pPr>
        <w:spacing w:after="0" w:line="182" w:lineRule="exact"/>
        <w:rPr>
          <w:sz w:val="20"/>
          <w:szCs w:val="20"/>
          <w:color w:val="auto"/>
        </w:rPr>
      </w:pPr>
    </w:p>
    <w:p>
      <w:pPr>
        <w:ind w:right="20" w:firstLine="1304"/>
        <w:spacing w:after="0" w:line="284" w:lineRule="auto"/>
        <w:tabs>
          <w:tab w:leader="none" w:pos="15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after all of the Twin DIP Obligations have been indefeasibly paid in full and all Twin Commitments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to the Borrower or as otherwise required by applicable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4" w:name="page125"/>
    <w:bookmarkEnd w:id="1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amounts received from or attributable to Twin DIP Collateral shall not be applied to satisfy any FBG DIP Obligations, and amounts applied pursuant to foregoing shall not reduce or otherwise affect any FBG DIP Obligations outstanding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Credit Bidding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DIP Lender shall have the right to Credit Bid and purchase all or any portion of the DIP Collateral at any sale thereof conducted by DIP Agent under the provisions of the UCC, including pursuant to sections 9-610 or 9-620 of the UCC, at any sale thereof conducted under the provisions of the Bankruptcy Code, including section 363 thereof, or a sale under a plan of reorganization, or at any other sale or foreclosure conducted by a DIP Agent (whether by judicial action or otherwise)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89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Subject to the procedures in the DIP Order, whether or not the transactions contemplated hereby shall be consummated, the Borrowers shall reimburse the Secured Parties for (i) all reasonable and documented out-of-pocket costs and expenses in connection with the preparation of the DIP Loan Documents, the Interim DIP Order, the Final DIP Order and any consents, amendments, waivers or other modifications thereto and in connection with the execution, delivery, consummation and administration of the transactions contemplated hereby (including the out of pocket expenses incurred in obtaining and maintaining the Platform) and thereby, and enforcement of rights and remedies hereto and thereto and in connection with the Chapter 11 Cases; (ii) the reasonable and documented out-of-pocket fees, expenses and disbursements of counsel to the DIP Agent and the Specified Financial Advisor in connection with the negotiation, preparation, execution and administration of the DIP Loan Documents and any consents, amendments, waivers or other modifications thereto and any other documents or matters requested by the Borrowers and in connection with the consummation and administration of the transactions contemplated hereby and thereby and enforcement of rights and remedies hereto and thereto and in connection with the Chapter 11 Cases; (iii) all the reasonable and documented out-of-pocket costs and expenses in connection with the custody or preservation of any of the DIP Collateral; and (iv) all reasonable and documented out-of-pocket costs and expenses, including reasonable attorneys’ fees and expenses, the fees and expenses of the Specified Financial Advisor and costs of settlement, incurred by the DIP Agent in enforcing any Obligations of or in collecting any payments due from the Borrowers or the other Loan Parties hereunder or under the other DIP Loan Documents (including in connection with the sale of, collection from, or other realization upon any of the DIP Collateral) or in connection with any refinancing or restructuring of the credit arrangements provided under this Agreement in the nature of a “work-out” or pursuant to the Chapter 11 Cases, or any other insolvency proceedings or any attempt to enforce any rights or remedies of the DIP Agent against the Borrowers or any other Person that may be obligated thereto by virtue of being a party to any of the DIP Loan Documents, in each case, without the need to file any applications with the Bankruptcy Court but subject to the limitations set forth in the DIP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both"/>
        <w:ind w:firstLine="656"/>
        <w:spacing w:after="0" w:line="252" w:lineRule="auto"/>
        <w:tabs>
          <w:tab w:leader="none" w:pos="91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Whether or not the transactions contemplated hereby shall be consummated, the Borrowers agree, jointly and severally with the other Loan Parties, to indemnify, pay and hold the DIP Agent, and its Related Parties and Representatives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harmless from and against any and all claims, liabilities, losses, damages, costs and expenses (whether or not any of the foregoing Persons is a party to any litigation), including, without limitation, reasonable attorneys’ and financial advisors’ fees and costs (including, without limitation, the reasonable estimate of the allocated cost of in-house legal counsel and staff) and costs of investigation, document production, attendance at a deposition, or other discovery, with respect to or arising out of the preparation, negotiation, executive, delivery, administration or enforcement of this Agreement or the other DIP Loan Documents (including, without limitation, any obligation of the DIP Agent to indemnify or reimburse a bank, securities intermediary or financial institution under any Segregated Account Control Agreement or other account control agreement entered into by the DIP Agent under the DIP Loan Documents) or any other agreement or instrument contemplated hereby, or the DIP Loans or any use of proceeds therefrom or the Chapter 11 Cases or any transactions contemplated hereby or thereby, or any claim, demand, action or cause of action being asserted against the Borrowers or any other Loan Party or any other transactions contemplated hereby and thereby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no obligation hereunder with respect to Indemnified Liabilities with respect to a particular Indemnified Person arising from the bad faith, gross negligence or willful misconduct of any such Indemnified Person, as determined by a court of competent jurisdiction in a final, non-appealable judgment and (ii) in no event will any Taxes constitute Indemnified Liabilities (other than Taxes that represent losses, claims, damages, liabilities or related expenses arising from any non-Tax claim). This covenant shall survive termination of this Agreement, the resignation or removal of the DIP Agent and payment of the outstanding DIP Loans.</w:t>
      </w:r>
    </w:p>
    <w:p>
      <w:pPr>
        <w:spacing w:after="0" w:line="19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17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or on account of any obligation of the Borrowers or any other Loan Party hereunder or under any other related DIP Loan Documents shall be made free and clear of and without deduction or withholding for or on account of any present or future taxes, levies, imposts, duties, charges, assessments, fees, deductions or withholdings of any kind or nature whatsoever or any interest, additions to tax or penalties payable with respect thereto now or in the future imposed, levied, collected, withheld or assessed by any Governmental Authority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required by applicable law. If any Taxes are required by applicable law to be withheld (as determined in good faith by an applicable withholding agent)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from any such payment by a withholding agent, then the applicable withholding agent shall be entitled to make such withholding and shall timely pay the full amount withheld to the relevant Governmental Authority in accordance with applicable law and the sum payable hereunder shall be increased as necessary so that after such withholding has been made (including such withholdings applicable to additional sums payable under this Section 8(c)) the applicable recipient receives an amount equal to the sum it would have received had no such withholding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additional amounts shall be payable to a recipient pursuant to the preceding sentence in respect of any (1) income Taxes or franchise, branch profits or similar Taxes (imposed in lieu of income Taxes), in each case, (i) imposed on the recipient as a result of its present or former connection to the applicable taxing jurisdiction (other than such recipient’s connections with such taxing jurisdiction arising from, out of or with respect to any DIP Loan Documents or any transactions therein), or (ii) imposed as a result of such recipient being organized under the laws of, or having its principal office or, in the case of any lender, its applicable lending office located in, the jurisdiction imposing such Tax (or any political subdivision thereof), (2) Withholding Taxes imposed on amounts payable pursuant to law in effect on the date such recipient becomes a party to this Agreement, (3) Taxes resulting from such recipient’s failure to provide the documentation pursuant to Section 8(c)(ii) or (iii), and (4) Taxes imposed pursuant to Sections 1471 through 1474 of the Code or any Treasury Regulations, other rules, regulations, official administrative guidance or intergovernmental agreements implementing such Sections, in each case as of the date of this Agreement (or any amended or successor version that is substantively comparable and not materially more onerous to comply with)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(any such Taxes described in this proviso,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both"/>
        <w:ind w:left="180" w:firstLine="652"/>
        <w:spacing w:after="0" w:line="253" w:lineRule="auto"/>
        <w:tabs>
          <w:tab w:leader="none" w:pos="109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on which a DIP Lender becomes a DIP Lender under this Agreement and from time to time thereafter upon the reasonable request of the Borrowers or the DIP Agent, such DIP Lender shall provide the Borrowers and the DIP Agent with (1) if the DIP Lender is a “United States Person” as defined in Section 7701(a)(30) of the Code, executed copies of IRS Form W-9 certifying that such DIP Lender is exempt from U.S. federal backup withholding tax; (2) if the DIP Lender is not “United States Person” as defined in Section 7701(a)(30) of the Code, to the extent it is legally eligible to do so, executed copies of whichever of the following the DIP Lender is legally eligible to deliver: (A) IRS Form W-8BEN or IRS Form W-8BEN-E establishing an exemption from, or reduction of, U.S. federal withholding Tax pursuant to the “interest”, “business profits” or “other income” article of an applicable income tax treaty;</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0" w:lineRule="auto"/>
        <w:tabs>
          <w:tab w:leader="none" w:pos="4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IRS Form W-8EXP; (C) in the event the DIP Lender is claiming the benefits of the exemption for portfolio interest under Section 881(c) of the Code, a certificate to the effect that such DIP Lender is not a “bank” within the meaning of Section 881(c)(3)(A) of the Code, a “10 percent shareholder” of any Borrower within the meaning of Section 871(h)(3)(B) of the Code, or a “controlled foreign corporation” related to any Borrower described in Section 881(c)(3)(C) of the Code, together with IRS Form W-8BEN or IRS Form W-8BEN-E; (D) to the extent the DIP Lender is not the beneficial owner, IRS Form W-8IMY, accompanied by IRS Form W-8ECI, IRS Form W-8EXP, IRS Form W-8BEN, IRS Form W-8BEN-E, a certificate described in the foregoing clause (C), IRS Form W-9, and/or other certification documents from each beneficial owner, as applicable; or (E) any other form prescribed by applicable law as a basis for claiming exemption from or a reduction in U.S. federal withholding Tax, duly completed, together with such supplementary documentation as may be prescribed by applicable law to permit the Borrowers and the DIP Agent to determine the withholding or deduction required to be made to the extent, in the DIP Lender’s reasonable judgment, the completion, execution or submission of such form would not subject such Lender to any material unreimbursed cost or expense or would materially prejudice the legal or commercial position of such DIP Lender; and (3) if a payment made to a DIP Lender under any this Agreement would be subject to U.S. federal withholding Tax imposed by FATCA if such DIP Lender were to fail to comply with the applicable reporting requirements of FATCA (including those contained in Section 1471(b) or 1472(b) of the Code, as applicable), such Lender shall deliver to the Borrowers and the DIP Agent at the time or times prescribed by law and at such time or times reasonably requested by the Borrowers or the DIP Agent such documentation prescribed by applicable law (including as prescribed by Section 1471(b)(3)(C)(i) of the Code) and such additional documentation reasonably requested by the Borrowers or the DIP Agent as may be necessary for the Borrowers and the DIP Agent to comply with their obligations under FATCA and to determine that such Lender has complied with such Lender’s obligations under FATCA or to determine the amount, if any, to deduct and withhold from such payment (provided, that solely for purposes of this clause (3), “FATCA” shall include any amendments made to FATCA after the date of this Agreement). Each DIP Lender agrees that if any form or certification it previously delivered expires or becomes obsolete or inaccurate in any respect, it shall update such form or certification or promptly notify the Borrowers and the DIP Agent in writing of its legal ineligibility to do so.</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7" w:name="page128"/>
    <w:bookmarkEnd w:id="127"/>
    <w:p>
      <w:pPr>
        <w:jc w:val="both"/>
        <w:ind w:left="180" w:firstLine="652"/>
        <w:spacing w:after="0" w:line="258" w:lineRule="auto"/>
        <w:tabs>
          <w:tab w:leader="none" w:pos="11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DIP Agent (including for this purpose any successor, supplemental or sub-agent) becomes a party to this Agreement, the DIP Agent shall provide to the Borrowers executed copies of IRS Form W-9 certifying that it is exempt from U.S. federal backup withholding tax. At any time thereafter, the DIP Agent shall provide updated documentation previously provided (or a successor form thereto) when any documentation previously delivered has expired or become obsolete or invalid or otherwise upon the reasonable request of the Borrowers.</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3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timely pay to the relevant Governmental Authority in accordance with applicable law, or at the option of the DIP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indemnify each Recipient, within 10 days after demand therefor, for the full amount of any Taxes (including Taxes imposed or asserted on or attributable to amounts payable under this Section 8(c)), other than Excluded Taxes, payable or paid by such Recipient or required to be withheld or deducted from a payment to such Recipient and any reasonable expenses arising therefrom or with respect thereto, whether or not such Taxes were correctly or legally imposed or asserted by the relevant Governmental Authority. A certificate as to the amount of such payment or liability delivered to a Borrower by a DIP Lender (with a copy to the DIP Agent), or by the DIP Agent on its own behalf or on behalf of a DIP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3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shall severally indemnify the DIP Agent, within ten (10) days after demand therefor, for (i) any Taxes that are not Excluded Taxes and attributable to such DIP Lender (but only to the extent that the Borrowers have not already indemnified the DIP Agent for such Taxes and without limiting the obligation of the Borrowers to do so), (ii) any Taxes attributable to such DIP Lender’s failure to comply with Section 8(d)(iii) relating to the maintenance of a Participant Register and (iii) any Excluded Taxes attributable to such DIP Lender, in each case, that are payable or paid by the DIP Agent in connection with any DIP Loan Document, and any reasonable expenses arising therefrom or with respect thereto, whether or not such Taxes were correctly or legally imposed or asserted by the relevant Governmental Authority. A certificate as to the amount of such payment or liability delivered to any DIP Lender by the DIP Agent shall be conclusive absent manifest error.</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8" w:name="page129"/>
    <w:bookmarkEnd w:id="128"/>
    <w:p>
      <w:pPr>
        <w:jc w:val="both"/>
        <w:ind w:left="644" w:firstLine="652"/>
        <w:spacing w:after="0" w:line="266" w:lineRule="auto"/>
        <w:tabs>
          <w:tab w:leader="none" w:pos="16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8(c) shall survive the resignation or replacement of the DIP Agent or any assignment of rights by, or the replacement of, a DIP Lender, the termination of the Commitments and the repayment, satisfaction or discharge of all obligations under any DIP Loan Document.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 Assignments and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153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DIP Agent, acting solely for this purpose as a non-fiduciary agent of the Borrowers, shall maintain at its address a register for the recordation of the names and addresses of each DIP Lender and the outstanding principal, stated interest, and any other amounts due hereunder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each Borrower, the DIP Agent and DIP Lender may treat each Person whose name is recorded in the Register as the owner of the DIP Loans and other amounts hereunder for all purposes of this Agreement. The Register shall be available for inspection by the Borrowers and any DIP Lender, at any reasonable time and from time to time upon reasonable prior notice. No transfer of an interest in any DIP Loan shall be effective unless and until such transfer is recorded in the Register. The DIP Agent may after the syndication of the DIP Facilities pursuant to the Syndication Procedures update the Register.</w:t>
      </w:r>
    </w:p>
    <w:p>
      <w:pPr>
        <w:spacing w:after="0" w:line="191" w:lineRule="exact"/>
        <w:rPr>
          <w:rFonts w:ascii="Times New Roman" w:cs="Times New Roman" w:eastAsia="Times New Roman" w:hAnsi="Times New Roman"/>
          <w:sz w:val="18"/>
          <w:szCs w:val="18"/>
          <w:color w:val="auto"/>
        </w:rPr>
      </w:pPr>
    </w:p>
    <w:p>
      <w:pPr>
        <w:ind w:left="1564" w:hanging="268"/>
        <w:spacing w:after="0"/>
        <w:tabs>
          <w:tab w:leader="none" w:pos="156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1300"/>
        <w:spacing w:after="0" w:line="261" w:lineRule="auto"/>
        <w:tabs>
          <w:tab w:leader="none" w:pos="225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neither the Borrowers nor any other Loan Party may assign or otherwise transfer any of its rights, obligations or interest hereunder or under any other DIP Loan Document without the prior written consent of each DIP Lender (and any attempted assignment or transfer without such consent shall be null and void).</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29" w:name="page130"/>
    <w:bookmarkEnd w:id="129"/>
    <w:p>
      <w:pPr>
        <w:jc w:val="both"/>
        <w:ind w:left="180" w:firstLine="1300"/>
        <w:spacing w:after="0" w:line="252"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DIP Lenders may, at any time, sell, assign, transfer, negotiate or grant participations to other financial institutions in all or part of the Commitments, DIP Loans or other obligations of the Borrowers outstanding under the DIP Loan Documents without the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sale, assignment, transfer, negotiation or participation shall be in compliance with the applicable federal and state securities laws and recorded in the Register and in accordance with the Syndication Procedures; (B) each DIP Lender and any assignee or transferee agrees (I) to be bound by the terms and conditions of this Agreement (including this Section 8(d)) and (II) that the risk of any Successful Challenge and of the outcome of the Twin Roll-Up Reservation (each as defined in the DIP Order) with respect to any Roll-Up Loans shall be borne exclusively by any DIP Lender then holding the relevant Roll-Up Loans, and no transferee or assignee shall have any claim against the applicable transferor or assignor in connection with any economic loss arising from or relating to such Successful Challenge or outcome of the Twin Roll-Up Reservation with respect to the Roll-Up Loans transferred or assigned to it; and (C) in the event of any Successful Challenge invalidating or rendering unenforceable all or any portion of the Roll-Up Loans, each DIP Lender who is then a holder of the relevant Roll-Up Loans subject of such Successful Challenge (whether as original holder thereof or as a transferee or assignee thereof) shall bear the risk of and be entitled to the benefit of any recharacterization of such Roll-Up Loans as Prepetition Class A-2 Notes in an amount and type corresponding to the amount and type of Prepetition Class A-2 Notes previously exchanged for the Roll-Up Loans then held by such DIP Lender (whether or not such DIP Lender was the holder of such Roll-Up Loans when made) or such other consequences as the Bankruptcy Court may order in connection with such Successful Challenge. No DIP Lender shall sell, assign or transfer all or part of the Commitments, DIP Loans or other obligations of the Borrowers outstanding under the DIP Loan Documents prior to the consummation of the assignments to be made under the Master Assignment and Assumption to be executed on the Reallocation Date (each as defined in the Syndication Procedures) (or, if applicable, the earlier termination of the Syndication Procedures in accordance with their terms) (the “</w:t>
      </w:r>
      <w:r>
        <w:rPr>
          <w:rFonts w:ascii="Times New Roman" w:cs="Times New Roman" w:eastAsia="Times New Roman" w:hAnsi="Times New Roman"/>
          <w:sz w:val="18"/>
          <w:szCs w:val="18"/>
          <w:u w:val="single" w:color="auto"/>
          <w:color w:val="auto"/>
        </w:rPr>
        <w:t>Syndication Completion</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6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DIP Lenders may, in connection with any actual or proposed assignment or participation, disclose to the actual or proposed assignee or participant, any information relating to the Loan Parties or any of their respective Subsidiaries. Assignments shall be subject to the following additional conditions: (i) the parties to each assignment shall execute and deliver to the DIP Agent and to the Specified Financial Advisor an instrument of assignment and acceptance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together with a processing and recordation fee of US$3,500 for the account of the DIP Agent unless such fee is waived by the DIP Agent in its sole discretion, (ii) the assignee, if it was not a DIP Lender immediately prior to such assignment, shall deliver to the DIP Agent (A) an Administrative Questionnaire, and (B) any other documents reasonably required by the DIP Agent or the Required Lenders, and (C) any information reasonably required by such DIP Agent in connection with its “know your customer” process (including, without limitation, the assignee’s tax documentation as required pursuant to Section 8(c)(ii)).</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which is a member of the Ad Hoc Group agrees, on and subject to the terms and conditions of the Syndication Procedures, to execute the Master Assignment and Assumption pursuant to which it will sell, assign and/or transfer, as applicable, a portion of the DIP Loans and Commitments held by it on the Reallocation Date in accordance with the Syndication Procedures.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0" w:name="page131"/>
    <w:bookmarkEnd w:id="130"/>
    <w:p>
      <w:pPr>
        <w:jc w:val="both"/>
        <w:ind w:left="180" w:firstLine="1300"/>
        <w:spacing w:after="0" w:line="266" w:lineRule="auto"/>
        <w:tabs>
          <w:tab w:leader="none" w:pos="175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Date until the Syndication Completion, each DIP Lender agrees not to (and to cause its Affiliates and its and its Affiliates’ funds or accounts over which it has investment authority, voting discretion or control not to) sell, transfer, or assign in whole or in part, its right, title or interest in or to any Prepetition Notes.</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5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Syndication Completion until the earlier of (I) the Challenge Period Termination Date if no Challenge (each as defined in the DIP Order) has been asserted or (II) the entry of a final non-appealable order of a court of competent jurisdiction resolving any Challenge, each DIP Lender agrees (x) not to (and to cause its Affiliates and its and its Affiliates’ funds or accounts over which it has investment authority, voting discretion or control not to) sell, transfer or assign its right, title or interest in or to any Prepetition Notes that became Roll-Up Loans in accordance with any Roll-Up Financing and (y) prior to or contemporaneously with any sale, transfer or assignment of Prepetition Notes, to provide written notice of such sale, transfer or assignment (including the amount and type of Prepetition Notes sold, transferred or assigned) to the Borrowers and the Specified Financial Advisor, in accordance with Section 8(o); provided, the DIP Agent shall not have any duty, liability or obligation with respect to any sale, transfer or assignment of any Prepetition Notes or to monitor the same.</w:t>
      </w:r>
    </w:p>
    <w:p>
      <w:pPr>
        <w:spacing w:after="0" w:line="188" w:lineRule="exact"/>
        <w:rPr>
          <w:rFonts w:ascii="Times New Roman" w:cs="Times New Roman" w:eastAsia="Times New Roman" w:hAnsi="Times New Roman"/>
          <w:sz w:val="18"/>
          <w:szCs w:val="18"/>
          <w:color w:val="auto"/>
        </w:rPr>
      </w:pPr>
    </w:p>
    <w:p>
      <w:pPr>
        <w:ind w:left="1780" w:hanging="300"/>
        <w:spacing w:after="0"/>
        <w:tabs>
          <w:tab w:leader="none" w:pos="17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DIP Loans, Commitments or Prepetition Notes in violation of this Section 8(d)(ii) shall be void ab</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initio.</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Each DIP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DIP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DIP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U.S. Treasury Regulations or Section 1.163-5(b) of the U.S. Proposed Treasury Regulations. The entries in the Participant Register shall be conclusive absent manifest error, and such DIP Lender shall treat each Person whose name is recorded in the Participant Register as the owner of such participation for all purposes of this Agreement notwithstanding any notice to the contrary. For the avoidance of doubt, the DIP Agent (in its capacity as DIP Agent) shall have no responsibility for maintaining a Participant Register.</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1" w:name="page132"/>
    <w:bookmarkEnd w:id="131"/>
    <w:p>
      <w:pPr>
        <w:jc w:val="both"/>
        <w:ind w:left="644" w:firstLine="652"/>
        <w:spacing w:after="0" w:line="254" w:lineRule="auto"/>
        <w:tabs>
          <w:tab w:leader="none" w:pos="159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Notwithstanding anything to the contrary in this Agreement, if and to the extent that a DIP Lender does not hold, at any Roll-Up Effective Time corresponding to any Borrowing, an amount and type of Prepetition Class A-2 Notes (excluding any Prepetition Class A-2 Notes previously deemed rolled up in connection with any previous Borrowing) which is equal to or greater than the amount and type of Roll-Up Loans associated with the New Money DIP Loans made by such DIP Lender in connection with such Borrowing, then the amount of Roll-Up Loans of the applicable type made by such DIP Lender in connection with such Borrowing shall automatically and immediately (without requirement for any further action by any party, by any court, or otherwise) be deemed to be reduced to an amount equal to the amount of the applicable type of Prepetition Class A-2 Notes then held by it (and such DIP Lender’s Roll-Up Loan Amount shall be automatically and immediately (without requirement for any further action by any party, by any court, or otherwise) deemed to be reduced pro tanto).</w:t>
      </w:r>
    </w:p>
    <w:p>
      <w:pPr>
        <w:spacing w:after="0" w:line="18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150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Except as otherwise expressly provided in this Agreement, (A) any consent or approval required or permitted by this Agreement or any other DIP Loan Document to be given by the DIP Lenders may be given, (B) any term of this Agreement or of any other DIP Loan Document may be amended, (C) the performance or observance by the Borrower, any other Loan Party or any other Subsidiary of the Borrowers of any terms of this Agreement or such other DIP Loan Document may be waived, and (D) the continuance of any Default or Event of Default may be waived (either generally or in a particular instance and either retroactively or prospectively) with, but only with, the written consent of the Required Lenders or the DIP Agent at the written direction of the Required Lenders (other than with respect to any amendment, consent, approval or waiver that affects only the Twin DIP Loan Parties or that affects only the FBG DIP Loan Parties, which shall require the consent of the Required Twin Lenders or the Required FBG Lenders, as applicable (and not the Required Lenders)), and, in the case of an amendment to any DIP Loan Document, the written consent of each Loan Party party thereto.</w:t>
      </w:r>
    </w:p>
    <w:p>
      <w:pPr>
        <w:spacing w:after="0" w:line="188" w:lineRule="exact"/>
        <w:rPr>
          <w:rFonts w:ascii="Times New Roman" w:cs="Times New Roman" w:eastAsia="Times New Roman" w:hAnsi="Times New Roman"/>
          <w:sz w:val="18"/>
          <w:szCs w:val="18"/>
          <w:color w:val="auto"/>
        </w:rPr>
      </w:pPr>
    </w:p>
    <w:p>
      <w:pPr>
        <w:ind w:left="1564" w:hanging="268"/>
        <w:spacing w:after="0"/>
        <w:tabs>
          <w:tab w:leader="none" w:pos="15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the DIP Lenders Directly Affected</w:t>
      </w:r>
      <w:r>
        <w:rPr>
          <w:rFonts w:ascii="Times New Roman" w:cs="Times New Roman" w:eastAsia="Times New Roman" w:hAnsi="Times New Roman"/>
          <w:sz w:val="18"/>
          <w:szCs w:val="18"/>
          <w:color w:val="auto"/>
        </w:rPr>
        <w:t>. In addition to the foregoing requirements, no amendment, waiver or consent</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w:t>
      </w:r>
    </w:p>
    <w:p>
      <w:pPr>
        <w:spacing w:after="0" w:line="206" w:lineRule="exact"/>
        <w:rPr>
          <w:rFonts w:ascii="Times New Roman" w:cs="Times New Roman" w:eastAsia="Times New Roman" w:hAnsi="Times New Roman"/>
          <w:sz w:val="18"/>
          <w:szCs w:val="18"/>
          <w:color w:val="auto"/>
        </w:rPr>
      </w:pPr>
    </w:p>
    <w:p>
      <w:pPr>
        <w:ind w:left="644" w:firstLine="1300"/>
        <w:spacing w:after="0" w:line="282" w:lineRule="auto"/>
        <w:tabs>
          <w:tab w:leader="none" w:pos="22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reinstate) a Commitment of a DIP Lender (excluding any increase as a result of an assignment of Commitments permitted under Section 8(d)) without the written consent of such DIP Lender;</w:t>
      </w:r>
    </w:p>
    <w:p>
      <w:pPr>
        <w:spacing w:after="0" w:line="161" w:lineRule="exact"/>
        <w:rPr>
          <w:rFonts w:ascii="Times New Roman" w:cs="Times New Roman" w:eastAsia="Times New Roman" w:hAnsi="Times New Roman"/>
          <w:sz w:val="18"/>
          <w:szCs w:val="18"/>
          <w:color w:val="auto"/>
        </w:rPr>
      </w:pPr>
    </w:p>
    <w:p>
      <w:pPr>
        <w:jc w:val="both"/>
        <w:ind w:left="644" w:firstLine="1300"/>
        <w:spacing w:after="0" w:line="261" w:lineRule="auto"/>
        <w:tabs>
          <w:tab w:leader="none" w:pos="2237"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interest that has accrued or the rates of interest that will be charged on the outstanding principal amount of, any DIP Loans or other Obligations without the written consent of each DIP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only the written consent of the Required Lenders shall be required for the waiver of interest payable at the Default Rate, retraction of the imposition of interest at the Default Rate and amendment of the definition of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32" w:name="page133"/>
    <w:bookmarkEnd w:id="132"/>
    <w:p>
      <w:pPr>
        <w:ind w:left="1760" w:hanging="280"/>
        <w:spacing w:after="0"/>
        <w:tabs>
          <w:tab w:leader="none" w:pos="17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fees payable to a DIP Lender without the written consent of such DIP Lender;</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80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definition of “Maturity Date”, postpone any date fixed for, or forgive, any payment of principal of, or interest on, any DIP Loans or for the payment of any other Obligations owing to the DIP Lenders, in each case, without the written consent of each DIP Lender directly or adversely affected thereby;</w:t>
      </w:r>
    </w:p>
    <w:p>
      <w:pPr>
        <w:spacing w:after="0" w:line="175" w:lineRule="exact"/>
        <w:rPr>
          <w:rFonts w:ascii="Times New Roman" w:cs="Times New Roman" w:eastAsia="Times New Roman" w:hAnsi="Times New Roman"/>
          <w:sz w:val="18"/>
          <w:szCs w:val="18"/>
          <w:color w:val="auto"/>
        </w:rPr>
      </w:pPr>
    </w:p>
    <w:p>
      <w:pPr>
        <w:ind w:left="1760" w:hanging="280"/>
        <w:spacing w:after="0"/>
        <w:tabs>
          <w:tab w:leader="none" w:pos="17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without the written consent of each DIP Lender directly affected thereby;</w:t>
      </w:r>
    </w:p>
    <w:p>
      <w:pPr>
        <w:spacing w:after="0" w:line="22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175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or amend any of the defined terms used in this Agreement or the other DIP Loan Documents insofar as such definitions affect the substance of this Section without the written consent of each DIP Lender;</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7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the term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or modify in any other manner the number or percentage of the DIP Lenders required to make any determinations or waive any rights hereunder or to modify any provision hereof without the written consent of each DIP Lender;</w:t>
      </w:r>
    </w:p>
    <w:p>
      <w:pPr>
        <w:spacing w:after="0" w:line="175" w:lineRule="exact"/>
        <w:rPr>
          <w:rFonts w:ascii="Times New Roman" w:cs="Times New Roman" w:eastAsia="Times New Roman" w:hAnsi="Times New Roman"/>
          <w:sz w:val="18"/>
          <w:szCs w:val="18"/>
          <w:color w:val="auto"/>
        </w:rPr>
      </w:pPr>
    </w:p>
    <w:p>
      <w:pPr>
        <w:ind w:left="180" w:firstLine="1300"/>
        <w:spacing w:after="0" w:line="282" w:lineRule="auto"/>
        <w:tabs>
          <w:tab w:leader="none" w:pos="178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release all or substantially all of the Guarantors from their obligations under the applicable Guarantees to which they are a party without the written consent of each DIP Lender;</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2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release all or substantially all of the pledged equity interests or subordinate the Lien of the DIP Agent on all or substantially all of the pledged equity interests, in each case, without the written consent of each DIP Lender;</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3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(x) release all or substantially all of the Loan Parties from their obligations under any security document or (y) permit the DIP Collateral to secure any Indebtedness (other than (1) the Obligations, as applicable and (2) as expressly permitted under or contemplated by this Agreement), in each case, without the written consent of each DIP Lender; or</w:t>
      </w:r>
    </w:p>
    <w:p>
      <w:pPr>
        <w:spacing w:after="0" w:line="179" w:lineRule="exact"/>
        <w:rPr>
          <w:rFonts w:ascii="Times New Roman" w:cs="Times New Roman" w:eastAsia="Times New Roman" w:hAnsi="Times New Roman"/>
          <w:sz w:val="18"/>
          <w:szCs w:val="18"/>
          <w:color w:val="auto"/>
        </w:rPr>
      </w:pPr>
    </w:p>
    <w:p>
      <w:pPr>
        <w:ind w:left="1780" w:hanging="300"/>
        <w:spacing w:after="0"/>
        <w:tabs>
          <w:tab w:leader="none" w:pos="17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under Section 6(a) without the written consent of each DIP Lender.</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DIP Agent’s Duties</w:t>
      </w:r>
      <w:r>
        <w:rPr>
          <w:rFonts w:ascii="Times New Roman" w:cs="Times New Roman" w:eastAsia="Times New Roman" w:hAnsi="Times New Roman"/>
          <w:sz w:val="18"/>
          <w:szCs w:val="18"/>
          <w:color w:val="auto"/>
        </w:rPr>
        <w:t>. No amendment, waiver or consent unless in writing and signed by the DIP Agent, in addition to the DIP Lenders required hereinabove to take such action, shall affect the rights or duties of the DIP Agent under this Agreement or any of the other DIP Loan Documents.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DIP Agent or any DIP Lender in exercising any right shall operate as a waiver thereof or otherwise be prejudicial thereto. Any Event of Default occurring hereunder shall continue to exist until such time as such Event of Default is waived in writing in accordance with the terms of this Section 8(e), notwithstanding any attempted cure or other action by the Borrowers, any other Loan Party or any other Person subsequent to the occurrence of such Event of Default. Except as otherwise explicitly provided for herein or in any other DIP Loan Document, no notice to or demand upon the Borrowers shall entitle the Borrowers to other or further notice or demand in similar or other circumstances.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3" w:name="page134"/>
    <w:bookmarkEnd w:id="133"/>
    <w:p>
      <w:pPr>
        <w:jc w:val="both"/>
        <w:ind w:left="1300" w:firstLine="652"/>
        <w:spacing w:after="0" w:line="254" w:lineRule="auto"/>
        <w:tabs>
          <w:tab w:leader="none" w:pos="226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Technical Amendments</w:t>
      </w:r>
      <w:r>
        <w:rPr>
          <w:rFonts w:ascii="Times New Roman" w:cs="Times New Roman" w:eastAsia="Times New Roman" w:hAnsi="Times New Roman"/>
          <w:sz w:val="18"/>
          <w:szCs w:val="18"/>
          <w:color w:val="auto"/>
        </w:rPr>
        <w:t>. Notwithstanding anything to the contrary in this Section 8(e) (other than (iii)), if the Required Lenders and the Borrowers have jointly identified an ambiguity, omission, mistake or defect in any provision of this Agreement or any other DIP Loan Document or an inconsistency between provisions of this Agreement or provisions of another DIP Loan Document, the Required Lenders and the Borrowers shall be permitted to amend such provision or provisions to cure such ambiguity, omission, mistake, defect or inconsistency so long as the DIP Lenders and the DIP Agent shall have received at least five (5) Business Days’ prior written notice thereof and the DIP Agent shall not have received, within five (5) Business Days of the date of such notice to the DIP Lenders, a written notice from the Required Lenders stating that the Required Lenders object to such amendment. Any such amendment shall become effective without any further action or consent of any of other party to this Agreement, and the Borrowers will provide a copy of such amendment to the DIP Lenders and DIP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Conflict</w:t>
      </w:r>
      <w:r>
        <w:rPr>
          <w:rFonts w:ascii="Times New Roman" w:cs="Times New Roman" w:eastAsia="Times New Roman" w:hAnsi="Times New Roman"/>
          <w:sz w:val="18"/>
          <w:szCs w:val="18"/>
          <w:color w:val="auto"/>
        </w:rPr>
        <w:t xml:space="preserve">. This Agreement currently constitutes the entire agreement between the parties relating to the subject matter hereof and is binding on the parties in accordance with its terms. To the extent that there is any inconsistency between this Agreement and any of the other related DIP Loan Documents once executed, this Agreement shall govern unless such other document specifically states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to the extent that there is any inconsistency between this Agreement and the DIP Order, the DIP Order shall govern.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Binding Effect; Governing Law</w:t>
      </w:r>
      <w:r>
        <w:rPr>
          <w:rFonts w:ascii="Times New Roman" w:cs="Times New Roman" w:eastAsia="Times New Roman" w:hAnsi="Times New Roman"/>
          <w:sz w:val="18"/>
          <w:szCs w:val="18"/>
          <w:color w:val="auto"/>
        </w:rPr>
        <w:t>. This Agreement shall become effective when it shall have been executed by the Borrowers, the Parent, the Twin Manager, the DIP Agent and the DIP Lenders and thereafter shall be binding upon and inure to the benefit of the Borrowers, the Parent, the Twin Manager, the DIP Agent, the DIP Lender and their respective successors and assigns. THIS AGREEMENT, THE OTHER DIP LOAN DOCUMENTS AND THE RIGHTS AND OBLIGATIONS OF THE PARTIES HEREUNDER AND THEREUNDER SHALL BE GOVERNED BY, AND CONSTRUED IN ACCORDANCE WITH, THE LAWS OF THE STATE OF NEW YORK.</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AGREES TO WAIVE ITS RESPECTIVE RIGHTS TO A JURY TRIAL OF ANY CLAIM OR CAUSE OF ACTION BASED UPON OR ARISING OUT OF THIS AGREEMENT OR ANY OF THE OTHER DIP LOAN DOCUMENTS OR ANY DEALINGS BETWEEN THEM RELATING TO THE SUBJECT MATTER OF THIS LOAN TRANSACTION OR THE DIP LENDER/BORROWER RELATIONSHIP THAT IS BEING ESTABLISHED.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jc w:val="both"/>
        <w:ind w:firstLine="656"/>
        <w:spacing w:after="0" w:line="256" w:lineRule="auto"/>
        <w:tabs>
          <w:tab w:leader="none" w:pos="8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Venue</w:t>
      </w:r>
      <w:r>
        <w:rPr>
          <w:rFonts w:ascii="Times New Roman" w:cs="Times New Roman" w:eastAsia="Times New Roman" w:hAnsi="Times New Roman"/>
          <w:sz w:val="18"/>
          <w:szCs w:val="18"/>
          <w:color w:val="auto"/>
        </w:rPr>
        <w:t>. All judicial proceedings brought against any party hereto with respect to this Agreement and the DIP Loan Documents shall be brought in the Bankruptcy Court or, upon the dismissal or other resolution of the Chapter 11 Cases, in any state or federal court of competent jurisdiction in the State of New York, and by execution and delivery of this Agreement, each Borrower accepts for itself and in connection with its properties, generally and unconditionally, the exclusive jurisdiction of the Bankruptcy Court, and irrevocably agrees to be bound by any judgment rendered thereby in connection with this Agreement. Each Borrower irrevocably waives any right it may have to assert the doctrine of forum non conveniens or to object to venue to the extent any proceeding is brought in accordance with this clause (i).</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Electronic Execution</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Agreement by facsimile or other electronic transmission shall be as effective as delivery of an original counterpart of this Agreement. The words “execution,” “signed,” “signature,” and words of like import in this Agreement and in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used herein are for convenience of reference only, are not part of this Agreement and are not to affect the construction of, or to be taken into consideration in interpreting,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DIP Agent subject to the USA PATRIOT Act (Title III of Pub. Law 107-56 (signed into law October 26, 2001)) (as amended from time to time,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hereby notifies the Borrowers that pursuant to the requirements of the PATRIOT Act, it is required to obtain, verify and record information that identifies the Borrowers and the other Loan Parties and other information that will allow the DIP Agent to identify the Borrowers and the other Loan Parties in accordance with the PATRIOT Act. This notice is given in accordance with the requirements of the PATRIOT Act and is effective as to the DIP Agent.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5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Provisions</w:t>
      </w:r>
      <w:r>
        <w:rPr>
          <w:rFonts w:ascii="Times New Roman" w:cs="Times New Roman" w:eastAsia="Times New Roman" w:hAnsi="Times New Roman"/>
          <w:sz w:val="18"/>
          <w:szCs w:val="18"/>
          <w:color w:val="auto"/>
        </w:rPr>
        <w:t>. The words “hereof”, “herein” and “hereunder” and words of similar import when used in this Agreement shall refer to this Agreement as a whole and not to any particular provision of this Agreement, and section, subsection, schedule and exhibit references are sections, subsections, schedules and exhibits to this Agreement unless otherwise specified.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jc w:val="both"/>
        <w:ind w:firstLine="656"/>
        <w:spacing w:after="0" w:line="252" w:lineRule="auto"/>
        <w:tabs>
          <w:tab w:leader="none" w:pos="97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TO THE EXTENT PERMITTED BY APPLICABLE LAW, AND NOTWITHSTANDING ANY OTHER PROVISION OF THIS AGREEMENT OR THE OTHER DIP LOAN DOCUMENTS: (I) NONE OF THE DIP AGENT, THE DIP LENDERS OR ANY INDEMNIFIED PARTY SHALL BE LIABLE TO ANY PARTY FOR ANY INDIRECT, SPECIAL, PUNITIVE OR CONSEQUENTIAL DAMAGES (WHETHER BASED IN CONTRACT OR TORT) IN CONNECTION WITH OR RESULTING FROM THEIR RESPECTIVE ACTIVITIES RELATED TO THIS AGREEMENT, THE OTHER DIP LOAN DOCUMENTS, THE TRANSACTIONS CONTEMPLATED HEREBY OR THEREBY, THE DIP LOANS, OR OTHERWISE IN CONNECTION WITH OR RESULTING FROM THE FOREGOING; PROVIDED, THE FOREGOING SHALL NOT APPLY TO OR ACT TO LIMIT THE INDEMNIFICATION OBLIGATIONS OF ANY PARTY WITH RESPECT TO ANY CLAIM FOR CONSEQUENTIAL DAMAGES BY A THIRD PARTY FOR WHICH THE DIP AGENT IS ENTITLED TO INDEMNIFICATION UNDER THIS AGREEMENT OR ANY OTHER DIP LOAN DOCUMENT; (II) WITHOUT LIMITING THE FOREGOING, NONE OF THE DIP LENDER, THE DIP AGENT OR ANY INDEMNIFIED PARTY SHALL BE SUBJECT TO ANY EQUITABLE REMEDY OR RELIEF, INCLUDING SPECIFIC PERFORMANCE OR INJUNCTION ARISING OUT OF OR RELATING TO THIS AGREEMENT, THE OTHER DIP LOAN DOCUMENTS, OR THE TRANSACTIONS CONTEMPLATED THEREBY; AND (III) NONE OF THE DIP LENDER, THE DIP AGENT OR ANY INDEMNIFIED PARTY SHALL HAVE ANY LIABILITY TO THE LOAN PARTIES, FOR DAMAGES OR OTHERWISE, ARISING OUT OF OR RELATING TO THIS AGREEMENT, THE OTHER DIP LOAN DOCUMENTS, OR THE TRANSACTIONS CONTEMPLATED THEREBY FOR ANY ACT OR OMISSION PRIOR TO THE CLOSING DATE.</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in writing and shall be deemed to have been given (a) when personally delivered, (b) when transmitted via electronic mail to the e-mail address set out below if the sender on the same day sends a confirming copy of such notice by a recognized overnight delivery service (charges prepaid), (c) the day following the day (except if not a Business Day then the next Business Day) on which the same has been delivered prepaid to a reputable national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overnight courier service, or (d)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w:t>
      </w:r>
    </w:p>
    <w:p>
      <w:pPr>
        <w:spacing w:after="0" w:line="198" w:lineRule="exact"/>
        <w:rPr>
          <w:sz w:val="20"/>
          <w:szCs w:val="20"/>
          <w:color w:val="auto"/>
        </w:rPr>
      </w:pPr>
    </w:p>
    <w:p>
      <w:pPr>
        <w:ind w:left="2600" w:hanging="648"/>
        <w:spacing w:after="0"/>
        <w:tabs>
          <w:tab w:leader="none" w:pos="26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DIP Agent, to:</w:t>
      </w:r>
    </w:p>
    <w:p>
      <w:pPr>
        <w:spacing w:after="0" w:line="225" w:lineRule="exact"/>
        <w:rPr>
          <w:rFonts w:ascii="Times New Roman" w:cs="Times New Roman" w:eastAsia="Times New Roman" w:hAnsi="Times New Roman"/>
          <w:sz w:val="18"/>
          <w:szCs w:val="18"/>
          <w:color w:val="auto"/>
        </w:rPr>
      </w:pPr>
    </w:p>
    <w:p>
      <w:pPr>
        <w:ind w:left="2600" w:right="6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 Bank, N.A., as DIP Agent Loan Agency and Corporate Trust 1412 Broadway, Suite 1606 New York, NY 10018</w:t>
      </w:r>
    </w:p>
    <w:p>
      <w:pPr>
        <w:spacing w:after="0" w:line="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Prital K. Patel, Vice President</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Prital.Patel@umb.com</w:t>
      </w:r>
      <w:r>
        <w:rPr>
          <w:rFonts w:ascii="Times New Roman" w:cs="Times New Roman" w:eastAsia="Times New Roman" w:hAnsi="Times New Roman"/>
          <w:sz w:val="18"/>
          <w:szCs w:val="18"/>
          <w:color w:val="auto"/>
        </w:rPr>
        <w:t>; loanagency@umb.com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ind w:left="1480"/>
        <w:spacing w:after="0"/>
        <w:rPr>
          <w:sz w:val="20"/>
          <w:szCs w:val="20"/>
          <w:color w:val="auto"/>
        </w:rPr>
      </w:pPr>
      <w:r>
        <w:rPr>
          <w:rFonts w:ascii="Times New Roman" w:cs="Times New Roman" w:eastAsia="Times New Roman" w:hAnsi="Times New Roman"/>
          <w:sz w:val="18"/>
          <w:szCs w:val="18"/>
          <w:color w:val="auto"/>
        </w:rPr>
        <w:t>with a copy (which shall not constitute notice) to counsel to the DIP Lenders: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Brian Pfeiffer; Amanda Parra-Criste; Andrew Zatz</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brian.pfeiffer@whitecase.com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aparracriste@whitecase.com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azatz@whitecase.com</w:t>
      </w:r>
    </w:p>
    <w:p>
      <w:pPr>
        <w:spacing w:after="0" w:line="207" w:lineRule="exact"/>
        <w:rPr>
          <w:sz w:val="20"/>
          <w:szCs w:val="20"/>
          <w:color w:val="auto"/>
        </w:rPr>
      </w:pPr>
    </w:p>
    <w:p>
      <w:pPr>
        <w:ind w:left="1480" w:right="5460" w:hanging="648"/>
        <w:spacing w:after="0" w:line="261" w:lineRule="auto"/>
        <w:tabs>
          <w:tab w:leader="none" w:pos="14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FBG DIP Borrowers, to: FAT Brands Inc.</w:t>
      </w:r>
    </w:p>
    <w:p>
      <w:pPr>
        <w:ind w:left="1480" w:right="54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9720 Wilshire Blvd, Suite 500 Beverly Hills, CA 90212 Attention: Allen Z. Sussman Email: asussman@fatbrands.com</w:t>
      </w:r>
    </w:p>
    <w:p>
      <w:pPr>
        <w:spacing w:after="0" w:line="172"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w:t>
      </w:r>
    </w:p>
    <w:p>
      <w:pPr>
        <w:spacing w:after="0" w:line="27" w:lineRule="exact"/>
        <w:rPr>
          <w:rFonts w:ascii="Times New Roman" w:cs="Times New Roman" w:eastAsia="Times New Roman" w:hAnsi="Times New Roman"/>
          <w:sz w:val="18"/>
          <w:szCs w:val="18"/>
          <w:color w:val="auto"/>
        </w:rPr>
      </w:pPr>
    </w:p>
    <w:p>
      <w:pPr>
        <w:ind w:left="1480" w:right="57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1271 Avenue of the Americas New York, NY 10020</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Ray C. Schrock; Natasha Hwangpo; Nathan Whitaker Jordan Gratch</w:t>
      </w:r>
    </w:p>
    <w:p>
      <w:pPr>
        <w:spacing w:after="0" w:line="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ray.schrock@lw.com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natasha.hwangpo@lw.com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Nathan.whitaker@lw.com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Jordan.Gratch@lw.com</w:t>
      </w:r>
    </w:p>
    <w:p>
      <w:pPr>
        <w:spacing w:after="0" w:line="218"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Ted A. Dillman</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ted.dillman@lw.com</w:t>
      </w:r>
    </w:p>
    <w:p>
      <w:pPr>
        <w:spacing w:after="0" w:line="207" w:lineRule="exact"/>
        <w:rPr>
          <w:sz w:val="20"/>
          <w:szCs w:val="20"/>
          <w:color w:val="auto"/>
        </w:rPr>
      </w:pPr>
    </w:p>
    <w:p>
      <w:pPr>
        <w:ind w:left="1480" w:hanging="648"/>
        <w:spacing w:after="0"/>
        <w:tabs>
          <w:tab w:leader="none" w:pos="1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Twin DIP Borrower, to:</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Hospitality Group Inc.</w:t>
      </w:r>
    </w:p>
    <w:p>
      <w:pPr>
        <w:spacing w:after="0" w:line="27" w:lineRule="exact"/>
        <w:rPr>
          <w:rFonts w:ascii="Times New Roman" w:cs="Times New Roman" w:eastAsia="Times New Roman" w:hAnsi="Times New Roman"/>
          <w:sz w:val="18"/>
          <w:szCs w:val="18"/>
          <w:color w:val="auto"/>
        </w:rPr>
      </w:pPr>
    </w:p>
    <w:p>
      <w:pPr>
        <w:ind w:left="1480" w:right="54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9720 Wilshire Blvd, Suite 500 Beverly Hills, CA 90212 Attention: Allen Z. Sussman Email: </w:t>
      </w:r>
      <w:r>
        <w:rPr>
          <w:rFonts w:ascii="Times New Roman" w:cs="Times New Roman" w:eastAsia="Times New Roman" w:hAnsi="Times New Roman"/>
          <w:sz w:val="17"/>
          <w:szCs w:val="17"/>
          <w:u w:val="single" w:color="auto"/>
          <w:color w:val="auto"/>
        </w:rPr>
        <w:t>asussman@fatbrands.com</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06"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w:t>
      </w:r>
    </w:p>
    <w:p>
      <w:pPr>
        <w:spacing w:after="0" w:line="27" w:lineRule="exact"/>
        <w:rPr>
          <w:rFonts w:ascii="Times New Roman" w:cs="Times New Roman" w:eastAsia="Times New Roman" w:hAnsi="Times New Roman"/>
          <w:sz w:val="18"/>
          <w:szCs w:val="18"/>
          <w:color w:val="auto"/>
        </w:rPr>
      </w:pPr>
    </w:p>
    <w:p>
      <w:pPr>
        <w:ind w:left="1480" w:right="57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1271 Avenue of the Americas New York, NY 10020</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Ray C. Schrock; Natasha Hwangpo; Nathan Whitaker Jordan Gratch</w:t>
      </w:r>
    </w:p>
    <w:p>
      <w:pPr>
        <w:spacing w:after="0" w:line="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ray.schrock@lw.com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natasha.hwangpo@lw.com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Nathan.whitaker@lw.com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Jordan.Gratch@lw.com</w:t>
      </w:r>
    </w:p>
    <w:p>
      <w:pPr>
        <w:spacing w:after="0" w:line="2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20"/>
          </w:cols>
          <w:pgMar w:left="1440" w:top="688" w:right="1139" w:bottom="1440" w:gutter="0" w:footer="0" w:header="0"/>
        </w:sectPr>
      </w:pPr>
    </w:p>
    <w:bookmarkStart w:id="137" w:name="page138"/>
    <w:bookmarkEnd w:id="137"/>
    <w:p>
      <w:pPr>
        <w:ind w:left="2600"/>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Ted A. Dillman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ted.dillman@lw.com</w:t>
      </w:r>
    </w:p>
    <w:p>
      <w:pPr>
        <w:spacing w:after="0" w:line="207" w:lineRule="exact"/>
        <w:rPr>
          <w:sz w:val="20"/>
          <w:szCs w:val="20"/>
          <w:color w:val="auto"/>
        </w:rPr>
      </w:pPr>
    </w:p>
    <w:p>
      <w:pPr>
        <w:ind w:left="2600" w:hanging="648"/>
        <w:spacing w:after="0"/>
        <w:tabs>
          <w:tab w:leader="none" w:pos="26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Lender’s address or telecopy number as set forth in the applicable Administrative Questionnaire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Specified Financial Advisor, to:</w:t>
      </w:r>
    </w:p>
    <w:p>
      <w:pPr>
        <w:spacing w:after="0" w:line="225" w:lineRule="exact"/>
        <w:rPr>
          <w:rFonts w:ascii="Times New Roman" w:cs="Times New Roman" w:eastAsia="Times New Roman" w:hAnsi="Times New Roman"/>
          <w:sz w:val="18"/>
          <w:szCs w:val="18"/>
          <w:color w:val="auto"/>
        </w:rPr>
      </w:pPr>
    </w:p>
    <w:p>
      <w:pPr>
        <w:ind w:left="2600" w:right="6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Houlihan Lokey Capital, Inc. 245 Park Ave 20th Fl</w:t>
      </w:r>
    </w:p>
    <w:p>
      <w:pPr>
        <w:ind w:left="2600" w:right="66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New York, NY 10167 Attention: Jason Feintuch Email: </w:t>
      </w:r>
      <w:r>
        <w:rPr>
          <w:rFonts w:ascii="Times New Roman" w:cs="Times New Roman" w:eastAsia="Times New Roman" w:hAnsi="Times New Roman"/>
          <w:sz w:val="17"/>
          <w:szCs w:val="17"/>
          <w:u w:val="single" w:color="auto"/>
          <w:color w:val="auto"/>
        </w:rPr>
        <w:t>JFeintuch@HL.com</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and other communications to the DIP Lenders hereunder may be delivered or furnished by electronic communications pursuant to procedures approved by the DIP Agent. The DIP Agent may agree to accept notices and other communications to it hereunder by electronic communications pursuant to procedures approved by it; provided that approval of such procedures may be limited to particular notices or communications.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Loan Party further agrees that the DIP Agent may, but shall not be obligated to, make the Communications (as defined below) available to the DIP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DIP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Loan Party, any Lender or any other Person or entity for damages of any kind, including, without limitation, direct or indirect, special, incidental or consequential damages, losses or expenses (whether in tort, contract or otherwise) arising out of the Borrower’s or the DIP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DIP Loan Document or the transactions contemplated therein which is distributed to the DIP Agent or any DIP Lender by means of electronic communications pursuant to this Section, including through the Platform.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color w:val="auto"/>
        </w:rPr>
        <w:t>(p) The obligations of the DIP Lenders hereunder are several and not joint and several.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The DIP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1" w:lineRule="auto"/>
        <w:tabs>
          <w:tab w:leader="none" w:pos="8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 Each DIP Lender hereby irrevocably appoints and authorizes the DIP Agent to take such action as contractual representative on such DIP Lender’s behalf and to exercise such powers under this Agreement and the other DIP Loan Documents to which the DIP Agent is a party as are specifically and expressly delegated to the DIP Agent by the terms hereof and thereof. Each DIP Lender hereby acknowledges and agrees that the DIP Agent shall not have any duties or responsibilities except those expressly set forth herein and in the other DIP Loan Documents to which the DIP Agent is a party. The duties of the DIP Agent under the DIP Loan Documents are solely ministerial and administrative in nature. Not in limitation of the foregoing, each DIP Lender authorizes and directs the DIP Agent to (i) enter into the DIP Loan Documents to be executed on the date hereof to which the DIP Agent is a party and perform its duties as expressly stated thereunder, and (ii) to enter into the other DIP Loan Documents (including, without limitation, any Segregated Account Control Agreement executed after the date hereof) to which the DIP Agent is a party and perform its duties as expressly stated thereunder solely at the written direction of the Required Lenders. Each DIP Lender hereby agrees that, except as otherwise set forth herein, any action taken by the Required Lenders in accordance with the provisions of this Agreement or the DIP Loan Documents, and the exercise by the Required Lenders of the powers set forth herein or therein, together with such other powers as are reasonably incidental thereto, shall be authorized and binding upon all of the DIP Lenders. Nothing herein shall be construed to deem the DIP Agent a trustee or fiduciary for any DIP Lender or to impose on the DIP Agent duties or obligations other than those expressly provided for herein and nothing herein shall impose on the DIP Agent any other implied duties, regardless of whether a Default or Event of Default has occurred and is continuing. Without limiting the generality of the foregoing, the use of the terms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“agent” and similar terms in the DIP Loan Documents with reference to the DIP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DIP Agent shall deliver to each DIP Lender, promptly upon receipt thereof by the DIP Agent, copies of each of the financial statements, certificates, notices and other documents delivered to the DIP Agent pursuant to Section 5 that the Borrowers are not otherwise required to deliver directly to the DIP Lenders. The DIP Agent will furnish to any DIP Lender, upon the request of such DIP Lender, a copy (or, where appropriate, an original) of any document, instrument, agreement, certificate or notice furnished to the DIP Agent by the Borrowers, any other Loan Party or any other Affiliate of the Borrowers, pursuant to this Agreement or any other DIP Loan Document not already delivered or otherwise made available to such DIP Lender pursuant to the terms of this Agreement or any such other DIP Loan Document. The DIP Agent shall not be required to exercise any discretion or take any action (including, without limitation, with respect to matters concerning the enforcement or collection of any of the Obligations), but shall be required to act or to refrain from acting (and shall be fully protected in so acting or refraining from acting) upon the written direction of the Required Lenders (or all of the DIP Lenders if explicitly required under any other provision of this Agreement), and such written direction shall be binding upon all DIP Lenders and all holders of any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Agreement to the contrary, the DIP Agent shall not be required to take any action which, in the opinion of the DIP Agent or its counsel, exposes the DIP Agent to liability or which is contrary to this Agreement or any other DIP Loan Document or applicable law. The DIP Agent shall not be liable for any action taken or not taken by it with the consent or at the request of the Required Lenders (or all of the DIP Lenders if explicitly required under any other provision of this Agreement). The permissive authorizations, entitlements, powers and rights (including the right to request that the DIP Lenders take an action or deliver a document and the exercise of remedies following an Event of Default) granted to the DIP Agent herein shall not be construed as duties. The DIP Agent shall not have any responsibility for interest or income on any funds held by it hereunder and any funds so held shall be held uninvested pending distribution thereof. Whether or not explicitly set forth therein, the rights, powers, protections, immunities and indemnities granted to the DIP Agent herein shall apply to any document entered into by the DIP Agent in connection with its role as DIP Agent under the DIP Loan Documents. Without limiting the foregoing, no DIP Lender shall have any right of action whatsoever against the DIP Agent as a result of the DIP Agent acting or refraining from acting under this Agreement or any of the other DIP Loan Documents in accordance with the written direction of the Required Lenders, or where applicable, all the DIP Lenders. Any institution serving as the DIP Agent hereunder shall have the same rights and powers in its capacity as a DIP Lender as any other DIP Lender and may exercise the same as though it were not the DIP Agent, and such institution and its respective Affiliates may accept deposits from, lend money to and generally engage in any kind of business with the Loan Parties or any Subsidiary or other Affiliate of the Loan Parties as if it were not the DIP Agent hereunder.</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 of DIP Lenders</w:t>
      </w:r>
      <w:r>
        <w:rPr>
          <w:rFonts w:ascii="Times New Roman" w:cs="Times New Roman" w:eastAsia="Times New Roman" w:hAnsi="Times New Roman"/>
          <w:sz w:val="18"/>
          <w:szCs w:val="18"/>
          <w:color w:val="auto"/>
        </w:rPr>
        <w:t>. All communications from the DIP Agent to any DIP Lender requesting such DIP Lender’s determination, consent, approval or disapproval (i) shall be given in the form of a written notice to such DIP Lender, (ii) shall be accompanied by a description of the matter or issue as to which such determination, approval, consent or disapproval is requested, or shall advise such DIP Lender where information, if any, regarding such matter or issue may be inspected, or shall otherwise describe the matter or issue to be resolved, and (iii) shall include, if reasonably requested by such DIP Lender and to the extent not previously provided to such DIP Lender, written materials provided to the DIP Agent by the applicable Borrowers in respect of the matter or issue to be resolved.</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The DIP Agent shall not be deemed to have knowledge or notice of the occurrence of a Default or Event of Default unless the DIP Agent has received written notice from a DIP Lender or the Borrower referring to this Agreement, describing with reasonable specificity such Default or Event of Default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If any DIP Lender (if applicable, excluding the DIP Lender which is also serving as the DIP Agent) becomes aware of any Default or Event of Default, it shall promptly send to the DIP Agent such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DIP Lender’s failure to provide such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to the DIP Agent shall not result in any liability of such DIP Lender to any other party under any of the DIP Loan Documents. Further, if the DIP Agent receives such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DIP Agent shall give prompt notice thereof to the DIP Lenders. The DIP Agent shall take such action with respect to such Default or Event of Default as may be directed in writing by the Required Lenders.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jc w:val="both"/>
        <w:ind w:firstLine="656"/>
        <w:spacing w:after="0" w:line="251" w:lineRule="auto"/>
        <w:tabs>
          <w:tab w:leader="none" w:pos="9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DIP Agent may consult with legal counsel (including its own counsel or counsel for the Borrower or any other Loan Party), independent public accountants and other experts selected by it and shall not be liable for any action taken or omitted to be taken in the absence of bad faith or willful misconduct (as determined by a court of competent jurisdiction in a final non-appealable judgement) by it in accordance with the advice of such counsel, accountants or experts. Neither the DIP Agent nor any of its Related Parties: (i) makes any warranty or representation to any DIP Lender or any other Person, or shall be responsible to any DIP Lender or any other Person for, or have any duty to ascertain or inquire into any statement, warranty or representation made or deemed made by the Borrowers, any other Loan Party, DIP Lender or any other Person in or in connection with this Agreement or any other DIP Loan Document; (ii) shall have any duty to ascertain or to inquire as to the performance or observance of any of the terms, covenants or conditions of this Agreement or any other DIP Loan Document or the satisfaction of any conditions precedent under this Agreement or any DIP Loan Document on the part of the Borrowers or other Persons, or to inspect the property, books or records of the Borrower or any other Person; (iii) shall be responsible to any DIP Lender for the due execution, legality, validity, enforceability, genuineness, sufficiency or value of this Agreement or any other DIP Loan Document, any other instrument or document furnished pursuant thereto or any collateral covered thereby or the perfection or priority of any Lien in favor of the DIP Agent on behalf of the DIP Lenders in any such collateral; (iv) shall have any liability in respect of any recitals, statements, certifications, representations or warranties contained in any of the DIP Loan Documents or any other document, instrument, agreement, certificate or statement delivered in connection therewith; and (v) shall incur any liability under or in respect of this Agreement or any other DIP Loan Document by acting upon any notice, consent, certificate or other instrument or writing (which may be by telephone, telecopy or electronic mail) believed by it to be genuine and signed, sent or given by the proper party or parties. The DIP Agent may execute any of its duties under the DIP Loan Documents by or through agents, employees or attorneys-in-fact and shall not be responsible for the negligence or misconduct of any agent or attorney-in-fact that it appoints with due care. The DIP Agent and any sub-agent may perform any and all of its duties and exercise its rights and powers through its Related Parties and the exculpatory provisions of this Section 9 shall apply to any such sub-agent and to the Related Parties of the DIP Agent and shall apply to their respective activities in connection with the performance of its obligations hereunder and the other DIP Loan Documents. Delivery of reports, documents and other information to the DIP Agent is for informational purposes only and the DIP Agent’s receipt of the foregoing shall not constitute constructive knowledge of any event or circumstance or any information contained therein or determinable from information contained therein. Information contained in notices, reports or other documents delivered to the DIP Agent and other publicly available information shall not constitute actual or constructive knowledge. Knowledge of or notices or other documents delivered to the DIP Agent in any capacity shall not constitute knowledge of or delivery to the DIP Agent in any other capacity under the DIP Loan Documents or to any Affiliate or other division of the DIP Agent. The DIP Agent shall be entitled to rely upon, and shall not incur any liability for relying upon, any notice, request, certificate, consent, calculation, statement, instrument, document or other writing (including any electronic message, Internet or intranet website posting or other distribution) believed by it to be genuine and to have been signed or sent by the proper Person. In determining compliance with any condition hereunder to the making of a DIP Loan that by its terms must be fulfilled to the satisfaction of a DIP Lender, the DIP Agent may presume that such condition is satisfactory to such DIP Lender unless the DIP Agent shall have received written notice to the contrary from such DIP Lender prior to the making of such DIP Loan.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 provision under the DIP Loan Documents to the contrary, before taking or omitting any action to be taken or omitted by the DIP Agent under the terms of the DIP Loan Documents, the DIP Agent may seek the written direction of the Required Lenders (or such other number or percentage of DIP Lenders as is required hereof), which written direction may be in the form of an email, and the DIP Agent is entitled to rely (and is fully protected in so relying) upon such direction. If the DIP Agent requests such direction with respect to any action, the DIP Agent shall be entitled to refrain from such action unless and until the DIP Agent has received such direction, and the DIP Agent does not incur liability to any Person by reason of so refraining. In the absence of an express statement in the DIP Loan Documents regarding which DIP Lenders shall direct in any circumstance, the written direction of the Required Lenders shall apply and be sufficient for all purposes. If the DIP Agent so requests, it must first be indemnified to its satisfaction by the DIP Lenders against any and all fees, losses, liabilities and expenses which may be incurred by the DIP Agent by reason of taking or continuing to take, or omitting, any action directed by any DIP Lender prior to having any obligation to take or omit to take any such action. Any provision of the DIP Loan Documents authorizing the DIP Agent to take any action does not obligate the DIP Agent to take such action.</w:t>
      </w:r>
    </w:p>
    <w:p>
      <w:pPr>
        <w:spacing w:after="0" w:line="194" w:lineRule="exact"/>
        <w:rPr>
          <w:sz w:val="20"/>
          <w:szCs w:val="20"/>
          <w:color w:val="auto"/>
        </w:rPr>
      </w:pPr>
    </w:p>
    <w:p>
      <w:pPr>
        <w:jc w:val="both"/>
        <w:ind w:firstLine="656"/>
        <w:spacing w:after="0" w:line="251" w:lineRule="auto"/>
        <w:tabs>
          <w:tab w:leader="none" w:pos="91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DIP Agent</w:t>
      </w:r>
      <w:r>
        <w:rPr>
          <w:rFonts w:ascii="Times New Roman" w:cs="Times New Roman" w:eastAsia="Times New Roman" w:hAnsi="Times New Roman"/>
          <w:sz w:val="18"/>
          <w:szCs w:val="18"/>
          <w:color w:val="auto"/>
        </w:rPr>
        <w:t xml:space="preserve">. Without duplication of any amounts indemnified pursuant to Section 8(c)(vi), each DIP Lender agrees to indemnify the DIP Agent (to the extent not reimbursed or indemnified by the Borrowers or any other Loan Party and without limiting the obligation of the Borrowers or any other Loan Party to do so)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such DIP Lender’s respective Pro Rata Share (determined as of the time that the applicable unreimbursed expense or indemnity payment is sought), from and against any and all fees, liabilities, obligations, losses, damages, penalties, actions, judgments, suits, reasonable out-of-pocket costs and expenses of any kind or nature whatsoever (including, without limitation, counsel fees and compensation of agents and employees) which may at any time be imposed on, incurred by, or asserted against the DIP Agent (in its capacity as DIP Agent but not as a DIP Lender) in any way relating to or arising out of the DIP Loan Documents (including, without limitation, any obligation of the DIP Agent to indemnify or reimburse a bank, securities intermediary or financial institution under any Segregated Account Control Agreement or other account control agreement entered into by the DIP Agent under the DIP Loan Documents), any transaction contemplated hereby or thereby or any action taken or omitted by the DIP Agent under the DIP Loan Documents (collectively, “</w:t>
      </w:r>
      <w:r>
        <w:rPr>
          <w:rFonts w:ascii="Times New Roman" w:cs="Times New Roman" w:eastAsia="Times New Roman" w:hAnsi="Times New Roman"/>
          <w:sz w:val="18"/>
          <w:szCs w:val="18"/>
          <w:u w:val="single" w:color="auto"/>
          <w:color w:val="auto"/>
        </w:rPr>
        <w:t>Indemnifiable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DIP Lender shall be liable for any portion of such Indemnifiable Amounts to the extent resulting from the DIP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accordance with the directions of the Required Lenders (or all of the DIP Lenders, if expressly required hereunder) shall be deemed to constitute gross negligence or willful misconduct for purposes of this Section 9. Without limiting the generality of the foregoing, each DIP Lender agrees to reimburse the DIP Agent (to the extent not reimbursed by the Borrowers or any other Loan Party and without limiting the obligation of the Borrowers or any other Loan Party to do so) promptly upon demand for its ratable share of any out-of-pocket expenses (including the reasonable fees and expenses of counsel to the DIP Agent) incurred by the DIP Agent in connection with the preparation, negotiation, execution, administration, or enforcement (whether through negotiations, legal proceedings, or otherwise) of, or legal advice with respect to the rights or responsibilities of the parties under, the DIP Loan Documents, any suit or action brought by the DIP Agent to enforce the terms of the DIP Loan Documents and/or collect any Obligations, any “lender liability” suit or claim brought against the DIP Agent and/or the DIP Lenders, and any claim or suit brought against the DIP Agent and/or the DIP Lenders arising under any environmental laws. Such out-of-pocket expenses (including counsel fees) shall be advanced by the DIP Lenders on the request of the DIP Agent notwithstanding any claim or assertion that the DIP Agent is not entitled to indemnification hereunder upon receipt of an undertaking by the DIP Agent that the DIP Agent will reimburse the DIP Lenders if it is actually and finally determined by a court of competent jurisdiction that the DIP Agent is not so entitled to indemnification. To the extent permitted by applicable law, no party shall assert, and each party hereby waives, any claim against the DIP Agent, on any theory of liability, for special, indirect, incidental, consequential (including lost profits) or punitive damages (as opposed to direct or actual damages) arising out of, in connection with, or as a result of, hereunder or any DIP Loan Document or instrument contemplated hereby, any DIP Loan or the use of the proceeds thereof regardless of the form of action and whether or not any such damages were foreseeable or contemplated. The agreements and obligations in this Section 9 shall survive, remain operative and in full force and effect regardless of the resignation or replacement of the DIP Agent or payment of the DIP Loans and all other amounts payable hereunder or under the other DIP Loan Documents and the termination of this Agreement. If the Borrowers or any other Loan Party shall reimburse the DIP Agent for any Indemnifiable Amount following payment by any DIP Lender to the DIP Agent in respect of such Indemnifiable Amount pursuant to this Section 9, the DIP Agent shall share such reimbursement on a ratable basis with each DIP Lender making any such payment.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jc w:val="both"/>
        <w:ind w:firstLine="656"/>
        <w:spacing w:after="0" w:line="252" w:lineRule="auto"/>
        <w:tabs>
          <w:tab w:leader="none" w:pos="87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Credit Decisions</w:t>
      </w:r>
      <w:r>
        <w:rPr>
          <w:rFonts w:ascii="Times New Roman" w:cs="Times New Roman" w:eastAsia="Times New Roman" w:hAnsi="Times New Roman"/>
          <w:sz w:val="18"/>
          <w:szCs w:val="18"/>
          <w:color w:val="auto"/>
        </w:rPr>
        <w:t>. Each of the DIP Lenders expressly acknowledges and agrees that neither the DIP Agent nor any of its Related Parties has made any representations or warranties to such DIP Lender and that no act by the DIP Agent hereafter taken, including any review of the affairs of the Borrowers, any other Loan Party or any other Subsidiary of the Borrowers or any Affiliate, shall be deemed to constitute any such representation or warranty by the DIP Agent to any DIP Lender. Each of the DIP Lenders acknowledges that it has made its own credit and legal analysis and decision to enter into this Agreement and the transactions contemplated hereby, independently and without reliance upon the DIP Agent, any other DIP Lender or counsel to the DIP Agent, or any of their respective Related Parties, and based on the financial statements of the Borrowers, the other Loan Parties, the other Subsidiaries and other Affiliates, and inquiries of such Persons, its independent due diligence of the business and affairs of the Borrowers, the other Loan Parties, the other Subsidiaries and other Persons, its review of the DIP Loan Documents, the advice of its own counsel and such other documents and information as it has deemed appropriate. Each of the DIP Lenders also acknowledges that it will, independently and without reliance upon the DIP Agent, any other DIP Lender or counsel to the DIP Agent or any of their respective Related Parties, and based on such review, advice, documents and information as it shall deem appropriate at the time, continue to make its own decisions in taking or not taking action under the DIP Loan Documents. The DIP Agent shall not be required to keep itself informed as to the performance or observance by the Borrowers or any other Loan Party of the DIP Loan Documents or any other document referred to or provided for therein or to inspect the properties or books of, or make any other investigation of, the Borrowers, any other Loan Party or any other Subsidiary of the Borrowers. Except for notices, reports and other documents and information expressly required to be furnished to the DIP Lenders by the DIP Agent under this Agreement or any of the other DIP Loan Documents or furnished to the DIP Agent for distribution to the DIP Lenders, the DIP Agent shall have no duty or responsibility to provide any DIP Lender with any credit or other information concerning the business, operations, property, financial and other condition or creditworthiness of the Borrowers, any other Loan Party or any other Affiliate thereof which may come into possession of the DIP Agent or any of its Related Parties. Each of the DIP Lenders acknowledges that the DIP Agent’s legal counsel in connection with the transactions contemplated by this Agreement is only acting as counsel to the DIP Agent and is not acting as counsel to any DIP Lender.</w:t>
      </w:r>
    </w:p>
    <w:p>
      <w:pPr>
        <w:spacing w:after="0" w:line="190"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 xml:space="preserve">. The DIP Agent may (i) resign at any time as DIP Agent under the DIP Loan Documents by giving written notice thereof to the DIP Lenders and the Borrowers or (ii) be removed as DIP Agent by all of the DIP Lenders and the Borrowers upon 30 days’ prior written notice if the DIP Agent is found by a court of competent jurisdiction in a final, non-appealable judgment to have committed gross negligence or willful misconduct in the course of performing its duties hereunder. Upon any such resignation or removal, the Required Lenders shall have the right to appoint a successor DIP Agent which appointment shall, provided no Default or Event of Default exists, be subject to the Borrowers’ approval, which approval shall not be unreasonably withheld or delayed (except that the Borrowers shall, in all events, be deemed to have approved each DIP Lender and any of its Affiliates as a successor DIP Agent). If no successor DIP Agent shall have been so appointed in accordance with the immediately preceding sentence, and shall have accepted such appointment, within 30 days after the current DIP Agent’s giving of notice of resignation or giving of notice of removal of the DIP Agent, then the current DIP Agent may, on behalf of the DIP Lenders, at its sole discretion (at the sole cost and expense of the Borrowers, including with respect to reasonable attorneys’ fees and expenses) apply to a court of competent jurisdiction to appoint a successor or for other appropriate relief, and any such resulting appointment or relief shall be binding upon all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DIP Agent shall notify the Borrowers and the DIP Lenders that the DIP Agent elects not to apply to a court for the appointment of a successor or other relief, then such resignation or removal shall nonetheless become effective in accordance with such notice and (1) the DIP Agent shall be discharged from its duties and obligations hereunder and under the other DIP Loan Documents and (2) all payments, communications and determinations provided to be made by, to or through the DIP Agent shall instead be made to each DIP Lender directly, until such time as a successor DIP Agent has been appointed as provided for above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DIP Lenders so acting directly shall be and be deemed to be protected by all indemnities and other provisions herein for the benefit and protection of the DIP Agent as if each such DIP Lender were itself the DIP Agent. Upon the acceptance of any appointment as DIP Agent hereunder by a successor DIP Agent, such successor DIP Agent shall thereupon succeed to and become vested with all the rights, powers, privileges and duties of the current DIP Agent, and the current DIP Agent shall be discharged from its duties and obligations under the DIP Loan Documents (unless earlier discharged in accordance with this Section 9). After any DIP Agent’s resignation hereunder as DIP Agent, the provisions of this Section 9 shall continue to inure to its benefit as to any actions taken or omitted to be taken by it while it was DIP Agent under the DIP Loan Documents. Notwithstanding anything contained herein to the contrary, the DIP Agent may assign its rights and duties under the DIP Loan Documents to any of its Affiliates by giving the Borrowers and each DIP Lender prior written notice.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The DIP Agent may merge or convert into, or consolidate with, another Person or sell or transfer all or substantially all of its corporate trust business, and any Person into which the DIP Agent may be merged or converted or with which it may be consolidated, or any Person resulting from any merger, conversion or consolidation to which the DIP Agent shall be a party, or any Person succeeding to all or substantially all of the corporate trust business of the DIP Agent shall be the successor of the DIP Agent under the DIP Loan Documents without the execution or filing of any paper or any further act on the part of any of the parties hereto, except where an instrument of transfer or assignment is required by law to effect such succession, anything herein to the contrary notwithstanding.</w:t>
      </w:r>
    </w:p>
    <w:p>
      <w:pPr>
        <w:spacing w:after="0" w:line="187" w:lineRule="exact"/>
        <w:rPr>
          <w:sz w:val="20"/>
          <w:szCs w:val="20"/>
          <w:color w:val="auto"/>
        </w:rPr>
      </w:pPr>
    </w:p>
    <w:p>
      <w:pPr>
        <w:ind w:left="920" w:hanging="264"/>
        <w:spacing w:after="0"/>
        <w:tabs>
          <w:tab w:leader="none" w:pos="9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52"/>
        <w:spacing w:after="0" w:line="252" w:lineRule="auto"/>
        <w:tabs>
          <w:tab w:leader="none" w:pos="216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9(h)(iv), each DIP Lender hereby authorizes the DIP Agent (acting at the written direction of the Required Lenders), without the necessity of any notice to or further consent from any other DIP Lender, from time to time prior to an Event of Default, to (i) take any action with respect to any DIP Collateral or any DIP Loan Document which may be necessary to perfect and maintain perfected the Liens upon the DIP Collateral granted pursuant to any of the DIP Loan Documents and to enter into such security documents as may be necessary or desirable in connection therewith from time to time and (ii) to consent to the granting by any of the Borrowers or any Subsidiary of the Borrowers of easements, restrictions, covenants, reservations, rights of way and other Liens in the ordinary course of business (or otherwise in connection with a condemnation proceeding), including, without limitation, for use, access, water and sewer liens, telephone and telegraph lines, gas or electric lines, telecommunications leases and other utilities, provided that no such grant, conveyance or encumbrance shall materially impair the utility and operation of the business of the Borrowers and its Subsidiaries or result in a Material Adverse Effect. The DIP Agent shall not have any obligation whatsoever to any DIP Lender or to any other person to assure that the DIP Collateral exists or is owned (whether in fee or by leasehold) by the person purporting to own it or is cared for, protected, or insured or has been encumbered or that the Liens granted to the DIP Agent pursuant to the DIP Loan Documents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the DIP Agent in any of the DIP Loan Documents.</w:t>
      </w:r>
    </w:p>
    <w:p>
      <w:pPr>
        <w:spacing w:after="0" w:line="19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hereby authorize the DIP Agent (at the written direction of the Required Lenders)to release any Lien granted to or held by the DIP Agent upon any DIP Collateral (x) upon termination of the applicable Commitments and indefeasible payment and satisfaction in full of all of the respective Obligations, (y) as expressly permitted by, but only in accordance with, the terms of the applicable DIP Loan Document, and (z) if approved, authorized or ratified in writing by the Required Lenders (or such greater number of DIP Lenders as this Agreement or any other DIP Loan Document may expressly provide). Notwithstanding anything to the contrary herein, upon request by the DIP Agent at any time, the Required Lenders will confirm in writing the DIP Agent’s authority to release particular types or items of DIP Collateral pursuant to this Section 9(h).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jc w:val="both"/>
        <w:ind w:left="180" w:firstLine="652"/>
        <w:spacing w:after="0" w:line="253" w:lineRule="auto"/>
        <w:tabs>
          <w:tab w:leader="none" w:pos="116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sale and transfer of DIP Collateral which is expressly permitted pursuant to the terms of this Agreement, and upon at least five (5) Business Days’ prior written request by the Borrowers, the DIP Agent (at the written direction of the Required Lenders) shall (and is hereby irrevocably authorized by the DIP Lenders to) execute such documents as may be reasonably requested by the Borrowers to evidence the release of the Liens granted to the DIP Agent for the benefit of the Secured Parties upon the Collateral that was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DIP Agent shall not be required to execute any such document on terms which, in the DIP Agent’s opinion, would expose the DIP Agent to liability or create any obligation or entail any consequence other than the release of such Liens and such releases shall be given without recourse to or representation or warranty by the DIP Agent, and (y) such release shall not in any manner discharge, affect or impair the Obligations or any Liens upon (or obligations of the Borrowers or any other Loan Party in respect of) all interests retained by the Borrowers or any other Loan Party, including, without limitation, the proceeds of such sale or transfer, all of which shall continue to constitute part of the DIP Collateral. In the event of any sale or transfer of DIP Collateral, or any foreclosure or deed in lieu thereof with respect to any of the DIP Collateral, the DIP Agent shall be authorized to deduct all of the expenses reasonably incurred by the DIP Agent from the proceeds of any such sale, transfer or foreclosure.</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 DIP Loan Documents or otherwise to the contrary, the DIP Agent shall have no obligation whatsoever to any DIP Lender or to any other Person to (w) file or prepare any financing or continuation statements or record any documents or instruments in any public office for purposes of creating, perfecting or maintaining any Lien or security interest created under the DIP Loan Documents, or (x) take any steps to preserve rights against any parties with respect to any DIP Collateral, (y) take any action to protect against any diminution in value of the DIP Collateral, or (z) assure that the DIP Collateral exists or is owned by the Borrowers, any other Loan Party or any other Subsidiary of the Borrowers or is cared for, protected or insured, or that the Liens granted to the DIP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DIP Agent in this Section 9 or in any of the DIP Loan Documents.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4" w:name="page145"/>
    <w:bookmarkEnd w:id="144"/>
    <w:p>
      <w:pPr>
        <w:ind w:left="224" w:hanging="224"/>
        <w:spacing w:after="0"/>
        <w:tabs>
          <w:tab w:leader="none" w:pos="2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618"/>
        <w:spacing w:after="0" w:line="258" w:lineRule="auto"/>
        <w:rPr>
          <w:sz w:val="20"/>
          <w:szCs w:val="20"/>
          <w:color w:val="auto"/>
        </w:rPr>
      </w:pPr>
      <w:r>
        <w:rPr>
          <w:rFonts w:ascii="Times New Roman" w:cs="Times New Roman" w:eastAsia="Times New Roman" w:hAnsi="Times New Roman"/>
          <w:sz w:val="18"/>
          <w:szCs w:val="18"/>
          <w:color w:val="auto"/>
        </w:rPr>
        <w:t>Each DIP Lender agrees that it will not take any action, nor institute any actions or proceedings, against the Borrower or any of its Subsidiaries under the DIP Loan Documents with respect to exercising claims against or rights in the DIP Collateral without the written consent of the Required Lenders. For purposes of this Section 9, the term “DIP Lender” includes any Person that is or at any time has been a DIP Lender and the terms and conditions of this provision shall be binding upon such Person at all times and expressly survive any assignment of the Commitment of such Person in whole or in part.</w:t>
      </w:r>
    </w:p>
    <w:p>
      <w:pPr>
        <w:spacing w:after="0" w:line="183" w:lineRule="exact"/>
        <w:rPr>
          <w:sz w:val="20"/>
          <w:szCs w:val="20"/>
          <w:color w:val="auto"/>
        </w:rPr>
      </w:pPr>
    </w:p>
    <w:p>
      <w:pPr>
        <w:ind w:left="224" w:hanging="224"/>
        <w:spacing w:after="0"/>
        <w:tabs>
          <w:tab w:leader="none" w:pos="2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2" w:lineRule="auto"/>
        <w:tabs>
          <w:tab w:leader="none" w:pos="1514"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and each other Secured Party hereby severally agrees that if (1) the DIP Agent notifies (which such notice shall be conclusive absent manifest error) such Lender or any other Secured Party (or the lender Affiliate of a Secured Party) or any other Person that has received funds from the DIP Agent or any of its Affiliates, either for its own account or on behalf of a DIP Lender or other Secured Party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DIP Agent has determined in its sole discretion that any funds received by such Payment Recipient were erroneously transmitted to, or otherwise erroneously or mistakenly received by, such Payment Recipient (whether or not known to such Payment Recipient) or (2) any Payment Recipient receives any payment from the DIP Agent (or any of its Affiliates) (x) that is in a different amount than, or on a different date from, that specified in a notice of payment or repayment sent by the DIP Agent (or any of its Affiliates) with respect to such payment or repayment, as applicable, (y) that was not preceded or accompanied by a notice of payment or repayment sent by the DIP Agent (or any of its Affiliates) with respect to such payment or repayment, as applicable, or (z) that such Payment Recipient otherwise becomes aware was transmitted or received in error or by mistake (in whole or in part) then, in each case, an error in payment shall be presumed to have been made (any such amounts specified in clauses</w:t>
      </w:r>
    </w:p>
    <w:p>
      <w:pPr>
        <w:spacing w:after="0" w:line="3" w:lineRule="exact"/>
        <w:rPr>
          <w:rFonts w:ascii="Times New Roman" w:cs="Times New Roman" w:eastAsia="Times New Roman" w:hAnsi="Times New Roman"/>
          <w:sz w:val="18"/>
          <w:szCs w:val="18"/>
          <w:color w:val="auto"/>
        </w:rPr>
      </w:pPr>
    </w:p>
    <w:p>
      <w:pPr>
        <w:jc w:val="both"/>
        <w:ind w:left="644" w:firstLine="4"/>
        <w:spacing w:after="0" w:line="252" w:lineRule="auto"/>
        <w:tabs>
          <w:tab w:leader="none" w:pos="93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of this Section 9(j)(i), whether received as a 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 shall require the DIP Agent to provide any of the notices specified in clauses (1) or (2) above. Each Payment Recipient agrees that it shall not assert any right or claim to any Erroneous Payment, and hereby waives any claim, counterclaim, defense or right of set-off or recoupment with respect to any demand, claim or counterclaim by the DIP Agent for the return of any Erroneous Payments, including without limitation waiver of any defense based on “discharge for value” or any similar doctrine.</w:t>
      </w:r>
    </w:p>
    <w:p>
      <w:pPr>
        <w:spacing w:after="0" w:line="188"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554"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immediately preceding clause (i), each Payment Recipient agrees that, in the case of clause (i)(2) above, it shall promptly notify the DIP Agent in writing of such occurrence.</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45" w:name="page146"/>
    <w:bookmarkEnd w:id="145"/>
    <w:p>
      <w:pPr>
        <w:jc w:val="both"/>
        <w:ind w:left="180" w:firstLine="652"/>
        <w:spacing w:after="0" w:line="254" w:lineRule="auto"/>
        <w:tabs>
          <w:tab w:leader="none" w:pos="115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(i)(1) or (i)(2) above, such Erroneous Payment shall at all times remain the property of the DIP Agent and shall be held in trust for the benefit of the DIP Agent, and upon demand from the DIP Agent such Payment Recipient shall (or, shall cause any Person who received any portion of an Erroneous Payment on its behalf to), promptly, but in all events no later than two Business Days thereafter, return to the DIP Agent the amount of any such Erroneous Payment (or portion thereof) as to which such a demand was made in same day funds and in the currency so received, together with interest thereon (unless waived by the DIP Agent) in respect of each day from and including the date such Erroneous Payment (or portion thereof) was received by such Payment Recipient to the date such amount is repaid to the DIP Agent at an overnight rate determined by the DIP Agent to be customary in the place of disbursement or payment for the settlement of international banking transactions.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3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DIP Agent for any reason, after demand therefor by the DIP Agent in accordance with immediately preceding clause (iii), from any DIP Lender that is a Payment Recipient or an Affiliate of a Payment Recipient (such unrecovered amount as to such DIP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DIP Agent and upon the DIP Agent’s written notice to such DIP Lender, such DIP Lender shall be deemed to have made a cashless assignment of the full face amount of the portion of its DIP Loans (but not its Commitments) in the amount of such portion to the DIP Agent or, at the option of the DIP Agent, the DIP Agent’s applicable lending Affiliate in an amount that is equal to the Erroneous Payment Return Deficiency (or such lesser amount as the DIP Agent may specify) (such assignment of the DIP Loans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plus any accrued and unpaid interest on such assigned amount, without further consent or approval of any party hereto and without any payment by the DIP Agent or its applicable lending Affiliate as the assignee of such Erroneous Payment Deficiency Assignment. Without limitation of its rights hereunder, the DIP Agent may cancel any Erroneous Payment Deficiency Assignment at any time by written notice to the applicable assigning DIP Lender and upon such revocation all of the DIP Loans assigned pursuant to such Erroneous Payment Deficiency Assignment shall be reassigned to such DIP Lender without any requirement for payment or other consideration. The parties hereto acknowledge and agree that (1) any assignment contemplated in this clause (iv) shall be made without any requirement for any payment or other consideration paid by the applicable assignee or received by the assignor and (2) the provisions of this clause (iv) shall govern in the event of any conflict with the terms and conditions of Section 8(d).</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agrees that (x) in the event an Erroneous Payment (or portion thereof) is not recovered from any Payment Recipient that has received such Erroneous Payment (or portion thereof) for any reason, the DIP Agent (1) shall be subrogated to all the rights of such Payment Recipient with respect to such amount and (2) is authorized to set off, net and apply any and all amounts at any time owing to such Payment Recipient under any DIP Loan Document, or otherwise payable or distributable by the DIP Agent to such Payment Recipient from any source, against any amount due to the DIP Agent under this Section 9(j)(v) or under the indemnification provisions of this Agreement, (y) the receipt of an Erroneous Payment by a Payment Recipient shall not for the purpose of this Agreement be treated as a payment repayment, discharge or other satisfaction of any Obligations owed by the Borrowers or any other Loan Party,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each case of clauses (y) and (z), to the extent such Erroneous Payment is, and solely with respect to the amount of such Erroneous Payment that is, comprised of funds received by the DIP Agent from the Borrowers or any other Loan Party for the purpose of making a payment on the Obligations.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6" w:name="page147"/>
    <w:bookmarkEnd w:id="146"/>
    <w:p>
      <w:pPr>
        <w:jc w:val="both"/>
        <w:ind w:left="644" w:firstLine="652"/>
        <w:spacing w:after="0" w:line="266" w:lineRule="auto"/>
        <w:tabs>
          <w:tab w:leader="none" w:pos="159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9(j) shall survive the resignation or replacement of the DIP Agent or any transfer of right or obligations by, or the replacement of, a DIP Lender, the termination of the Commitments or the repayment, satisfaction or discharge of all Obligations (or any portion thereof) under any DIP Loan Document.</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67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9(j) will constitute a waiver or release of any claim of any party hereunder arising from any Payment Recipient’s receipt of an Erroneous Payment.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DIP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2" w:lineRule="auto"/>
        <w:tabs>
          <w:tab w:leader="none" w:pos="151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the DIP Loan Documents, the DIP Agent shall not be liable for any action taken or not taken by it (i) with the consent or at the request or direction of the Required Lenders (or such other number or percentage of the Lenders as shall be necessary, or as the Agent shall believe in good faith shall be necessary, under the circumstances), or (ii) in the absence of its own gross negligence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taken or not taken by the DIP Agent at the direction of the Required Lenders (or such other number or percentage of DIP Lenders as is required hereunder) shall be considered gross negligence or willful misconduct of the DIP Agent. The DIP Agent shall not be responsible in any manner for any recital, statement, representation or warranty made by the Borrowers or any officer thereof, contained herein or in any other DIP Loan Document, or in any certificate, report, statement or other document referred to or provided for in, or received by the DIP Agent under or in connection with, this Agreement or any other DIP Loan Document, or the validity, effectiveness, genuineness, enforceability or sufficiency of this Agreement or any other DIP Loan Document, or for the creation, perfection or priority of any Liens purported to be created by any of the DIP Loan Documents, or the validity, genuineness, enforceability, existence, value or sufficiency of any DIP Collateral, or to make any inquiry respecting the performance by the Borrowers of its obligations hereunder or under any other DIP Loan Document, or for any failure of the Borrowers or any other party to any DIP Loan Document to perform its obligations hereunder or thereunder.</w:t>
      </w:r>
    </w:p>
    <w:p>
      <w:pPr>
        <w:spacing w:after="0" w:line="1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47" w:name="page148"/>
    <w:bookmarkEnd w:id="147"/>
    <w:p>
      <w:pPr>
        <w:jc w:val="both"/>
        <w:ind w:left="180" w:firstLine="652"/>
        <w:spacing w:after="0" w:line="261" w:lineRule="auto"/>
        <w:tabs>
          <w:tab w:leader="none" w:pos="11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required to use, risk or advance its own funds or otherwise incur financial liability in the performance of any of its duties or the exercise of any of its rights and powers hereunder. In no event shall the DIP Agent be liable, directly or indirectly, for any special, indirect, punitive or consequential loss or damages of any kind whatsoever (including without limitation, lost profits), even if the DIP Agent has been advised of the possibility of such damages and regardless of the form of action.</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5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subject to any fiduciary or other implied duties, regardless of whether a Default or Event of Default has occurred and is continuing. The DIP Agent shall not be required to take any action that, in its opinion or the opinion of its counsel, may expose the DIP Agent to liability or that is contrary to any DIP Loan Document or applicable law. The DIP Agent shall have no liability for any action taken, or errors in judgment made, in the absence of bad faith or willful misconduct (as determined by a court of competent jurisdiction in a final and non-appealable judgment) by it or any of its officers, employees or agents, unless it shall have been negligent in ascertaining the pertinent facts.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3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DIP Agent nor any of its directors, officers, employees, agents or Affiliates shall be responsible for nor have any duty to monitor the performance or any action of the Borrowers, or any of their directors, members, officers, agents, Affiliates or employees, nor shall it have any liability in connection with the malfeasance or nonfeasance by such parties. The DIP Agent may assume performance by all such persons of their respective obligations. Further, in determining compliance with any condition hereunder to the making of a Loan that by its terms must be fulfilled to the satisfaction of a DIP Lender, the DIP Agent may presume that such condition is satisfactory to such DIP Lender unless the DIP Agent shall have received written notice to the contrary from such DIP Lender prior to the making of such Loan.</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The DIP Agent shall have the right to, unilaterally and without prior notice, remove itself or not comply with any obligation that would reasonably be expected to result in violation of applicable sanctions, embargo and any similar laws (collectively, “</w:t>
      </w:r>
      <w:r>
        <w:rPr>
          <w:rFonts w:ascii="Times New Roman" w:cs="Times New Roman" w:eastAsia="Times New Roman" w:hAnsi="Times New Roman"/>
          <w:sz w:val="18"/>
          <w:szCs w:val="18"/>
          <w:u w:val="single" w:color="auto"/>
          <w:color w:val="auto"/>
        </w:rPr>
        <w:t>Embargo Rules</w:t>
      </w:r>
      <w:r>
        <w:rPr>
          <w:rFonts w:ascii="Times New Roman" w:cs="Times New Roman" w:eastAsia="Times New Roman" w:hAnsi="Times New Roman"/>
          <w:sz w:val="18"/>
          <w:szCs w:val="18"/>
          <w:color w:val="auto"/>
        </w:rPr>
        <w:t>”). The parties hereto expressly agree that the DIP Agent shall not be liable for not performing and/or delaying the receipt or the payment of any amount solely due to the DIP Agent’s compliance actions as required by with Embargo Rules.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8" w:name="page149"/>
    <w:bookmarkEnd w:id="148"/>
    <w:p>
      <w:pPr>
        <w:jc w:val="both"/>
        <w:ind w:left="1300" w:firstLine="652"/>
        <w:spacing w:after="0" w:line="256" w:lineRule="auto"/>
        <w:tabs>
          <w:tab w:leader="none" w:pos="225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DIP Loan Document to the contrary, the DIP Agent shall have no obligation to file or record any financing statements, notices, instruments, documents, consents or other papers as shall be necessary to (i) create, preserve, perfect or validate any security interest granted to the DIP Agent pursuant to any DIP Loan Document or (ii) enable the Agent to exercise and enforce its rights under any DIP Loan Document. In addition, the Agent shall have no responsibility or liability (i) in connection with the acts or omissions of any person in respect of the foregoing or (ii) for or with respect to the legality, validity and enforceability of any security interest created in the DIP Collateral or the perfection and priority of such security interest.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31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reference is made in this Agreement or any other DIP Loan Document to any discretionary action by, consent, designation, specification, requirement or approval of, notice, request or other communication from, or other direction given or action to be undertaken or to be (or not to be) suffered or omitted to be taken by the DIP Agent or to any election, decision, opinion, acceptance, use of judgment, expression of satisfaction or other exercise of discretion, rights or remedies to be made (or not to be made) by the DIP Agent (except for the DIP Agent’s ability to enter into any amendment to the Agent Fee Letter or any other DIP Loan Document to which it is a party when such amendment affects the rights and obligations of the DIP Agent, each of which shall be made in the DIP Agent’s sole discretion), it is understood that in all cases that the DIP Agent shall not have any duty to act, and shall be fully justified in failing or refusing to take any such action, if it has not received written direction, advice or concurrence from the Required Lenders (or such other number or percentage of DIP Lenders as is required hereof) in respect of such 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88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applicable law, the DIP Agent shall maintain the confidentiality of all Information (as defined below) in accordance with its customary procedure for handling confidential information of this nature for other customers in similar transactions but in any event may make disclosure: (a) to its Affiliates and to its and its Affiliates’ other respective Related Parties (it being understood that the Persons to whom such disclosure is made will be informed of the confidential nature of such Information and instructed to keep such Information confidential); (b) as required or requested by any Governmental Authority or representative thereof or pursuant to legal process or in connection with any legal proceedings, or as otherwise required by applicable law; (c) to the DIP Agent’s independent auditors and other professional advisors (provided they shall be notified of the confidential nature of the information); (d) to the extent such Information becomes publicly available other than as a result of a breach of this Section actually known by the DIP Agent to be a breach of this Section; (e) to the extent requested by, or required to be disclosed to, any nationally recognized rating agency or regulatory or similar authority having jurisdiction over it. Notwithstanding the foregoing, the DIP Agent may disclose any such confidential information, without notice to any other party, to Governmental Authorities in connection with any regulatory examination of the DIP Agent or in accordance with the regulatory compliance policy of the DIP Agent. As used in this Section,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any DIP Lender, other than any such information that is available to the DIP Agent on a nonconfidential basis prior to disclosure by the DIP Lender, provided that, in the case of any such information received from the DIP Lender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the confidential information of other customers in similar transactions.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Collateral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0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Subject to the entry and the terms of the DIP Order and subject further to Section 2(f)(ii) and Section 2(n), the Obligations shall be and hereby are secured by valid, enforceable, perfected and non-avoidable Liens in and to the DIP Collateral (any and all such charges, liens and security interests contemplated by the foregoing, collectively, the “</w:t>
      </w:r>
      <w:r>
        <w:rPr>
          <w:rFonts w:ascii="Times New Roman" w:cs="Times New Roman" w:eastAsia="Times New Roman" w:hAnsi="Times New Roman"/>
          <w:sz w:val="18"/>
          <w:szCs w:val="18"/>
          <w:u w:val="single" w:color="auto"/>
          <w:color w:val="auto"/>
        </w:rPr>
        <w:t>DIP Liens</w:t>
      </w:r>
      <w:r>
        <w:rPr>
          <w:rFonts w:ascii="Times New Roman" w:cs="Times New Roman" w:eastAsia="Times New Roman" w:hAnsi="Times New Roman"/>
          <w:sz w:val="18"/>
          <w:szCs w:val="18"/>
          <w:color w:val="auto"/>
        </w:rPr>
        <w:t>”), which DIP Liens shall be automatically perfected upon the entry of the Interim DIP Order without the need for any further action by the DIP Lenders, the DIP Agent, any other Secured Party or the Borrowers, including the filing of any financing statements or the recording of any mortgages. Such DIP Liens shall be granted pursuant to sections 364(c)(2), (c)(3) and (d)(1) of the Bankruptcy Code, as applicable, and shall have the priority as set forth in the DIP Order (and shall in no event be deemed to result in a breach, Default or Event of Default hereunder or under any other Loan Document). For the avoidance of doubt, no Excluded Asset will be secured or perfected by the DIP Liens.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Financing Statements; DIP Order</w:t>
      </w:r>
      <w:r>
        <w:rPr>
          <w:rFonts w:ascii="Times New Roman" w:cs="Times New Roman" w:eastAsia="Times New Roman" w:hAnsi="Times New Roman"/>
          <w:sz w:val="18"/>
          <w:szCs w:val="18"/>
          <w:color w:val="auto"/>
        </w:rPr>
        <w:t>. Subject to Section 9(h)(iv), each Loan Party authorizes the Required Lenders to file, transmit or communicate, as applicable, from time to time, UCC financing statements, along with amendments and modifications thereto, in all filing offices selected by the Required Lenders, listing such Loan Party as the Debtor and the DIP Agent as the Secured Party, and describing the collateral covered thereby in such manner as the Required Lenders may elect, including using descriptions such as “all personal property of debtor” or “all assets of debtor,” or words of similar effect, in each case without such Loan Party’s signature. Each Loan Party also hereby ratifies its authorization for the Required Lenders to have filed, in any filing office, any UCC financing statements filed prior to the date hereof. This Agreement, the DIP Order and such other DIP Loan Documents supplement each other, and the grants, priorities, rights and remedies of the DIP Agent hereunder and thereunder are cumulative. Notwithstanding anything to the contrary in this Agreement or any other DIP Loan Document, (x) the security interest hereunder shall be deemed to be a valid, binding, continuing, enforceable and fully perfected Lien on the DIP Collateral by entry of any DIP Order and (y) neither the DIP Agent nor any other Secured Party shall be required to file any UCC financing statements, notices of Liens or similar instruments in any jurisdiction or filing office or to take any other action in order to validate or perfect the Liens and security interests granted by or pursuant to this Agreement, the DIP Order or any other DIP Loan Document. The security interest, the priority of the security interest, and the other rights and remedies granted to the Secured Parties pursuant to this Agreement, the DIP Order and the other DIP Loan Documents (specifically including but not limited to the existence, validity, enforceability, extent, perfection and priority of the security interest) and the administrative superpriority provided herein and therein shall not be modified, altered or impaired in any manner by any other financing or extension of credit or incurrence of debt by any Loan Party (pursuant to section 364 of the Bankruptcy Code or otherwise), or by any dismissal or conversion of the Bankruptcy Cases, or by any other act or omission whatsoever.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jc w:val="both"/>
        <w:ind w:firstLine="656"/>
        <w:spacing w:after="0" w:line="261" w:lineRule="auto"/>
        <w:tabs>
          <w:tab w:leader="none" w:pos="89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Limitations</w:t>
      </w:r>
      <w:r>
        <w:rPr>
          <w:rFonts w:ascii="Times New Roman" w:cs="Times New Roman" w:eastAsia="Times New Roman" w:hAnsi="Times New Roman"/>
          <w:sz w:val="18"/>
          <w:szCs w:val="18"/>
          <w:color w:val="auto"/>
        </w:rPr>
        <w:t>. Notwithstanding the foregoing, neither the DIP Agent nor Borrower and its Subsidiaries shall in any event be required to maintain or perfect the DIP Agent’s security interest in the Collateral by: (i) the filing of any intellectual property security agreements, (ii) entry into any landlord waiver, collateral access or similar agreements, (ii) except with respect to the Segregated Account, entry into any control agreements, or (iv) entry into any mortgages. In no event shall any perfection actions be required with respect to any Excluded Asset.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Without limiting any of the DIP Agent’s other rights under this Agreement or any other DIP Loan Document, each Loan Party hereby grants to the DIP Agent an irrevocable power of attorney, coupled with an interest, authorizing and permitting the DIP Agent (acting through any of its officers, employees, attorneys or agents), at the DIP Agent’s option but without obligation, with or without notice to such Loan Party, and at each Loan Party’s expense, to do any or all of the following, in such Loan Party’s name or otherwise, in each case at the written direction of the Required Lenders: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95"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an Event of Default has occurred and is continuing, (A) execute on behalf of such Loan Party any documents that the DIP Agent (at the written direction of the Required Lenders, in their sole discretion) may deem advisable in order to perfect, protect and maintain the DIP Agent’s security interests, and priority thereof, in the DIP Collateral and to fully consummate all the transactions contemplated by this Agreement and the other DIP Loan Documents (including such financing statements and continuation financing statements, and amendments or other modifications thereto, as the DIP Agent (at the written direction of the Required Lenders) shall deem necessary or appropriate), (B) endorse such Loan Party’s name on all checks and other forms of remittances received by the DIP Agent, (C) pay any sums required on account of such Loan Party’s taxes or to secure the release of any Liens therefor, (D) pay any amounts necessary to obtain, or maintain in effect, any of the insurance, (E) receive and otherwise take control in any manner of any cash or non-cash items of payment or proceeds of DIP Collateral, (F) receive, open and dispose of all mail addressed to such Loan Party at any post office box or lockbox maintained by the DIP Agent for such Loan Party or at any other business premises of the DIP Agent and (G) endorse or assign to the DIP Agent on such Loan Party’s behalf any portion of DIP Collateral evidenced by an agreement, Instrument or Document; and</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23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occurrence and during the continuance of an Event of Default, (A) execute on behalf of such Loan Party any document exercising, transferring or assigning any option to purchase, sell or otherwise dispose of or lease (as lessor or lessee) any real or personal property which is part of the DIP Collateral or in which the DIP Agent has an interest, (B) execute on behalf of such Loan Party any invoices relating to any Accounts, any draft against any Account Debtor, any proof of claim in bankruptcy, any notice of Lien or claim, and any assignment or satisfaction of mechanic’s, materialman’s or other Lien, (C) execute on behalf of such Loan Party any notice to any Account Debtor, (D) pay, contest or settle any Lien, charge, encumbrance, security interest and adverse claim in or to any of the Collateral, or any judgment based thereon, or otherwise take any action to terminate or discharge the same, (E) grant extensions of time to pay, compromise claims relating to, and settle Accounts, Chattel Paper and General Intangibles for less than face value and execute all releases and other documents in connection therewith, (F) settle and adjust, and give releases of, any insurance claim that relates to any of the DIP Collateral and obtain payment therefor, (G) instruct any third party having custody or control of any DIP Collateral or books or records belonging to, or relating to, such Loan Party to give the DIP Agent the same rights of access and other rights with respect thereto as the DIP Agent has under this Agreement or any other DIP Loan Document, (H) change the address for delivery of such Loan Party’s mail, (I) vote any right or interest with respect to any Investment Property, and (J) instruct any Account Debtor to make all payments due to any Loan Party directly to the DIP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1" w:name="page152"/>
    <w:bookmarkEnd w:id="1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and all sums paid, and any and all costs, expenses, liabilities, obligations and reasonable attorneys’ fees (internal and external counsel) of the DIP Agent with respect to the foregoing shall be added to and become part of the Obligations, shall be payable on demand, and shall bear interest at a rate equal to the highest interest rate applicable to any of the Obligations. Each Loan Party agrees that the DIP Agent’s rights under the foregoing power of attorney and any of the DIP Agent’s other rights under this Agreement or the other DIP Loan Documents shall not be construed to indicate that the DIP Agent is in control of the business, management or properties of any Loan Party.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Remedies with Respect to Collateral</w:t>
      </w:r>
      <w:r>
        <w:rPr>
          <w:rFonts w:ascii="Times New Roman" w:cs="Times New Roman" w:eastAsia="Times New Roman" w:hAnsi="Times New Roman"/>
          <w:sz w:val="18"/>
          <w:szCs w:val="18"/>
          <w:color w:val="auto"/>
        </w:rPr>
        <w:t>. Subject to the DIP Order, without limiting any rights or remedies the DIP Agent may have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other DIP Loan Documents, under applicable law or otherwise, upon the occurrence and during the continuation of an Event of Default, notwithstanding the provisions of section 362 of the Bankruptcy Code and without further order of the Bankruptcy Court:</w:t>
      </w:r>
    </w:p>
    <w:p>
      <w:pPr>
        <w:spacing w:after="0" w:line="175" w:lineRule="exact"/>
        <w:rPr>
          <w:sz w:val="20"/>
          <w:szCs w:val="20"/>
          <w:color w:val="auto"/>
        </w:rPr>
      </w:pPr>
    </w:p>
    <w:p>
      <w:pPr>
        <w:jc w:val="both"/>
        <w:ind w:firstLine="656"/>
        <w:spacing w:after="0" w:line="266" w:lineRule="auto"/>
        <w:tabs>
          <w:tab w:leader="none" w:pos="89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Any and All Remedies</w:t>
      </w:r>
      <w:r>
        <w:rPr>
          <w:rFonts w:ascii="Times New Roman" w:cs="Times New Roman" w:eastAsia="Times New Roman" w:hAnsi="Times New Roman"/>
          <w:sz w:val="18"/>
          <w:szCs w:val="18"/>
          <w:color w:val="auto"/>
        </w:rPr>
        <w:t>. The DIP Agent (at the written direction of the Required Lenders) may take any and all actions and avail itself of any and all rights and remedies available to the DIP Agent under this Agreement, the DIP Order, any other DIP Loan Document, under law or in equity, and the rights and remedies herein and therein provided shall be cumulative and not exclusive of any rights or remedies provided by applicable law or otherwise.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 Modifications of Terms</w:t>
      </w:r>
      <w:r>
        <w:rPr>
          <w:rFonts w:ascii="Times New Roman" w:cs="Times New Roman" w:eastAsia="Times New Roman" w:hAnsi="Times New Roman"/>
          <w:sz w:val="18"/>
          <w:szCs w:val="18"/>
          <w:color w:val="auto"/>
        </w:rPr>
        <w:t>. The DIP Agent (at the written direction of the Required Lenders) may, but shall be under no obligation</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 notify all appropriate parties that the DIP Collateral, or any part thereof, has been assigned to, or is subject to a security interest in favor of, the DIP Agent; (ii) demand, sue for, collect and give receipts for and take all necessary or desirable steps to collect any DIP Collateral or proceeds in its or any Loan Party’s name, and apply any such collections against the Obligations as provided in Section 6; (iii) take control of any DIP Collateral and any cash and non-cash proceeds of any DIP Collateral; (iv) enforce, compromise, extend, renew settle or discharge any rights or benefits of each Loan Party with respect to or in and to any DIP Collateral, or deal with the DIP Collateral as the DIP Agent (at the written direction of the Required Lenders) may deem advisable; and (v) make any compromises, exchanges, substitutions or surrenders of DIP Collateral the DIP Agent (at the written direction of the Required Lenders) deems necessary or proper in its reasonable determination, including extending the time of payment, permitting payment in installments, or otherwise modifying the terms or rights relating to any of the DIP Collateral, all of which may be effected without notice to, consent of, or any other action of any Loan Party and without otherwise discharging or affecting the Obligations, the DIP Collateral or the security interests granted to the DIP Agent under this Agreement, the DIP Order or any other DIP Loan Document.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2" w:name="page153"/>
    <w:bookmarkEnd w:id="152"/>
    <w:p>
      <w:pPr>
        <w:jc w:val="both"/>
        <w:ind w:firstLine="656"/>
        <w:spacing w:after="0" w:line="266" w:lineRule="auto"/>
        <w:tabs>
          <w:tab w:leader="none" w:pos="8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and Assembly of Collateral</w:t>
      </w:r>
      <w:r>
        <w:rPr>
          <w:rFonts w:ascii="Times New Roman" w:cs="Times New Roman" w:eastAsia="Times New Roman" w:hAnsi="Times New Roman"/>
          <w:sz w:val="18"/>
          <w:szCs w:val="18"/>
          <w:color w:val="auto"/>
        </w:rPr>
        <w:t>. The DIP Agent (at the written direction of the Required Lenders) may, but shall not be obligated to, take possession of the DIP Collateral and/or, without removal, render each Loan Party’s Equipment unusable. Upon the DIP Agent’s request, each Loan Party shall assemble the DIP Collateral and make it available to the DIP Agent at one or more places designated by the DIP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Each DIP Lender and its Affiliates may and, without any notice to, consent of or any other action by any Loan Party (such notice, consent or other action being expressly waived), set-off or apply (i) any and all deposits (general or special, time or demand, provisional or final) at any time held by or for the account of the DIP Lender or any Affiliate of the DIP Lender and (ii) any Indebtedness at any time owing by the DIP Lender or any Affiliate of the DIP Lender or any participant in the Loans, as the case may be, to or for the credit or the account of any Loan Party to the repayment of the Obligations, irrespective of whether any demand for payment of the Obligations has been made.</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Lease, etc. of Collateral</w:t>
      </w:r>
      <w:r>
        <w:rPr>
          <w:rFonts w:ascii="Times New Roman" w:cs="Times New Roman" w:eastAsia="Times New Roman" w:hAnsi="Times New Roman"/>
          <w:sz w:val="18"/>
          <w:szCs w:val="18"/>
          <w:color w:val="auto"/>
        </w:rPr>
        <w:t>. The DIP Agent (at the written direction of the Required Lenders) may, without demand, advertising or notice, all of which each Loan Party hereby waives (except as the same may be required by the UCC or other applicable law and is not waivable under the UCC or such other applicable law), at any time or times in one or more public or private sales or other dispositions, for cash, on credit or otherwise, at such prices and upon such terms as determined by the DIP Agent (at the written direction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price and terms are commercially reasonable within the meaning of the UCC to the extent such sale or other disposition is subject to the UCC requirements that such sale or other disposition must be commercially reasonable), (A) sell, lease, license or otherwise dispose of any and all DIP Collateral and/or (B) deliver and grant options to a third party to purchase, lease, license or otherwise dispose of any and all DIP Collateral. The DIP Agent (at the written direction of the Required Lenders) may sell, lease, license or otherwise dispose of any DIP Collateral in its then-present condition or following any preparation or processing deemed necessary by the Required Lenders in their reasonable discretion. The DIP Agent (at the written direction of the DIP Lenders) may be the purchaser at any such public or private sale or other disposition of DIP Collateral, and in such case the DIP Agent may make payment of all or any portion of the purchase price therefor by the application of all or any portion of the Obligations due to the Secured Parties to the purchase price payable in connection with such sale or disposition. The DIP Agent may (if directed in writing by the Required Lenders) postpone or adjourn any sale or other disposition of any DIP Collateral from time to time by an announcement at the time and place of the sale or disposition to be so postponed or adjourned without being required to give a new notice of sale or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DIP Agent shall provide the applicable Loan Party with ten (10) Business Days’ written notice of the time and place of such postponed or adjourned sale or disposition. Each Loan Party hereby acknowledges and agrees that the DIP Agent’s compliance with any requirements of applicable law in connection with a sale, lease, license or other disposition of DIP Collateral will not be considered to adversely affect the commercial reasonableness of any sale, lease, license or other disposition of such DIP Collateral.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3" w:name="page154"/>
    <w:bookmarkEnd w:id="153"/>
    <w:p>
      <w:pPr>
        <w:ind w:firstLine="656"/>
        <w:spacing w:after="0" w:line="282" w:lineRule="auto"/>
        <w:tabs>
          <w:tab w:leader="none" w:pos="88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Each Loan Party shall remain liable for all amounts of the Obligations remaining unpaid as a result of any deficiency of the proceeds of the sale, lease, license or other disposition of DIP Collateral after such Proceeds are applied to the Obligations as provided in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Property; Voting and Other Rights</w:t>
      </w:r>
      <w:r>
        <w:rPr>
          <w:rFonts w:ascii="Times New Roman" w:cs="Times New Roman" w:eastAsia="Times New Roman" w:hAnsi="Times New Roman"/>
          <w:sz w:val="18"/>
          <w:szCs w:val="18"/>
          <w:color w:val="auto"/>
        </w:rPr>
        <w:t>. All rights of each Loan Party to exercise any of the voting and other consensual rights which it would otherwise be entitled to exercise in accordance with the terms hereof with respect to any Investment Property, and to receive any dividends, payments, and other distributions which it would otherwise be authorized to receive and retain in accordance with the terms hereof with respect to any Investment Property, shall immediately, at the election of DIP Agent (at the written direction of the Required Lenders and without requiring any notice) cease, and all such rights shall thereupon become vested solely in the DIP Agent, and the DIP Agent (at the written direction of the Required Lenders) shall thereupon be solely authorized and empowered, without notice, to (A) transfer and register in its name, or in the name of its nominee, the whole or any part of the Investment Property, it being acknowledged by each Loan Party that any such transfer and registration may be effected by the DIP Agent through its irrevocable appointment as attorney-in-fact pursuant to clause (h) below and Section 10(d) above, (B) exchange certificates or instruments representing or evidencing Investment Property for certificates or instruments of smaller or larger denominations, (C) exercise the voting and all other rights as a holder with respect to all or any portion of the Investment Property (including all economic rights, all control rights, authority and powers, and all status rights of each Loan Party as a member or as a shareholder (as applicable) of its Subsidiaries), (D) collect and receive all dividends and other payments and distributions made thereon, (E) notify the parties obligated on any Investment Property to make payment to the DIP Agent of any amounts due or to become due thereunder, (F) endorse instruments in the name of each Loan Party to allow collection of any Investment Property, (G) enforce collection of any of the Investment Property by suit or otherwise, and surrender, release, or exchange all or any part thereof, or compromise or renew for any period (whether or not longer than the original period) any liabilities of any nature of any Person with respect thereto, (H) consummate any sales of Investment Property or exercise any other rights as set forth herein, (I) otherwise act with respect to the Investment Property as though the DIP Agent was the outright owner thereof and (J) exercise any other rights or remedies the DIP Agent may have under the UCC, other applicable law or otherwise.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4" w:name="page155"/>
    <w:bookmarkEnd w:id="154"/>
    <w:p>
      <w:pPr>
        <w:jc w:val="both"/>
        <w:ind w:firstLine="656"/>
        <w:spacing w:after="0" w:line="268" w:lineRule="auto"/>
        <w:tabs>
          <w:tab w:leader="none" w:pos="903"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Irrevocable Proxy</w:t>
      </w:r>
      <w:r>
        <w:rPr>
          <w:rFonts w:ascii="Times New Roman" w:cs="Times New Roman" w:eastAsia="Times New Roman" w:hAnsi="Times New Roman"/>
          <w:sz w:val="17"/>
          <w:szCs w:val="17"/>
          <w:color w:val="auto"/>
        </w:rPr>
        <w:t>. EACH LOAN PARTY OBLIGOR HEREBY IRREVOCABLY CONSTITUTES AND APPOINTS THE DIP AGENT AS ITS PROXY AND ATTORNEY-IN-FACT FOR SUCH LOAN PARTY WITH RESPECT TO ALL OF EACH SUCH LOAN PARTY’S INVESTMENT PROPERTY WITH THE RIGHT, DURING THE CONTINUANCE OF AN EVENT OF DEFAULT, WITHOUT NOTICE, TO TAKE ANY OF THE FOLLOWING ACTIONS, AT THE WRITTEN DIRECTION OF THE REQUIRED LENDERS: (A) TRANSFER AND REGISTER IN THE DIP AGENT’S NAME, OR IN THE NAME OF ITS NOMINEE, THE WHOLE OR ANY PART OF THE INVESTMENT PROPERTY, (B) VOTE THE PLEDGED EQUITY, WITH FULL POWER OF SUBSTITUTION TO DO SO, (C) RECEIVE AND COLLECT ANY DIVIDEND OR ANY OTHER PAYMENT OR DISTRIBUTION IN RESPECT OF, OR IN EXCHANGE FOR, THE INVESTMENT PROPERTY OR ANY PORTION THEREOF, TO GIVE FULL DISCHARGE FOR THE SAME AND TO INDORSE ANY INSTRUMENT MADE PAYABLE TO ANY LOAN PARTY FOR THE SAME,</w:t>
      </w:r>
    </w:p>
    <w:p>
      <w:pPr>
        <w:jc w:val="both"/>
        <w:ind w:firstLine="8"/>
        <w:spacing w:after="0" w:line="265" w:lineRule="auto"/>
        <w:tabs>
          <w:tab w:leader="none" w:pos="327"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OTHER RIGHTS, POWERS, PRIVILEGES, AND REMEDIES (INCLUDING ALL ECONOMIC RIGHTS, ALL CONTROL RIGHTS, AUTHORITY AND POWERS, AND ALL STATUS RIGHTS OF EACH LOAN PARTY AS A MEMBER OR AS A SHAREHOLDER (AS APPLICABLE) OF ITS SUBSIDIARY) TO WHICH A HOLDER OF THE EQUITY INTERESTS IN THE LOAN PARTY’S SUBSIDIARY WOULD BE ENTITLED (INCLUDING, WITH RESPECT TO THE EQUITY INTERESTS, GIVING OR WITHHOLDING WRITTEN CONSENTS OF MEMBERS OR SHAREHOLDERS, CALLING SPECIAL MEETINGS OF MEMBERS OR SHAREHOLDERS, AND VOTING AT SUCH MEETINGS), AND (E) TAKE ANY ACTION AND TO EXECUTE ANY INSTRUMENT WHICH THE DIP AGENT MAY DEEM NECESSARY OR ADVISABLE TO ACCOMPLISH THE PURPOSES OF THIS AGREEMENT. THE APPOINTMENT OF THE DIP AGENT AS PROXY AND ATTORNEY-IN-FACT IS COUPLED WITH AN INTEREST AND SHALL BE VALID AND IRREVOCABLE UNTIL (x) ALL OF THE OBLIGATIONS HAVE BEEN INDEFEASIBLY PAID IN FULL IN CASH IN ACCORDANCE WITH THE PROVISIONS OF THIS AGREEMENT, THE OTHER LOAN DOCUMENTS, (y) THE DIP AGENT HAVE NO FURTHER OBLIGATIONS UNDER THIS AGREEMENT, ANY OTHER LOAN DOCUMENT, AND</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THE COMMITMENTS UNDER THIS AGREEMENT HAVE EXPIRED OR HAVE BEEN TERMINATED (IT BEING UNDERSTOOD AND AGREED THAT SUCH OBLIGATIONS WILL BE AUTOMATICALLY REINSTATED IF AT ANY TIME PAYMENT, IN WHOLE OR IN PART, OF ANY OF THE OBLIGATIONS IS RESCINDED OR MUST OTHERWISE BE RESTORED OR RETURNED BY THE DIP AGENT FOR ANY REASON WHATSOEVER, INCLUDING AS A PREFERENCE, FRAUDULENT CONVEYANCE, OR OTHERWISE UNDER ANY BANKRUPTCY, INSOLVENCY, OR SIMILAR LAW, ALL AS THOUGH SUCH PAYMENT HAD NOT BEEN MADE; IT BEING FURTHER UNDERSTOOD THAT IN THE EVENT PAYMENT OF ALL OR ANY PART OF THE OBLIGATIONS IS RESCINDED OR MUST BE RESTORED OR RETURNED, ALL REASONABLE OUT-OF-POCKET COSTS AND EXPENSES (INCLUDING ALL REASONABLE INTERNAL AND EXTERNAL ATTORNEYS’ FEES AND DISBURSEMENTS) INCURRED BY THE DIP AGENT IN DEFENDING AND ENFORCING SUCH REINSTATEMENT SHALL HEREBY BE DEEMED TO BE INCLUDED AS A PART OF THE OBLIGATIONS). SUCH APPOINTMENT OF DIP AGENT AS PROXY AND AS ATTORNEY-IN-FACT SHALL BE VALID AND IRREVOCABLE AS PROVIDED HEREIN NOTWITHSTANDING ANY LIMITATIONS TO THE CONTRARY SET FORTH IN ANY GOVERNING DOCUMENTS OF ANY LOAN PARTY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5" w:name="page156"/>
    <w:bookmarkEnd w:id="155"/>
    <w:p>
      <w:pPr>
        <w:jc w:val="both"/>
        <w:ind w:firstLine="656"/>
        <w:spacing w:after="0" w:line="252" w:lineRule="auto"/>
        <w:tabs>
          <w:tab w:leader="none" w:pos="86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With respect to any disposition as to which the Securities Act or analogous state securities laws is applicable, each Loan Party hereby waives any objection to sale in a compliant manner, and agrees that the DIP Agent has no obligation to obtain the maximum possible price for the DIP Collateral so long as the DIP Agent (at the written direction of the Required Lenders) proceeds in a commercially reasonable manner. Without limiting the generality of the foregoing, each Loan Party agrees that in conducting a disposition of the DIP Collateral as to which the Securities Act or analogous state securities laws applies, the DIP Agent (at the written direction of the Required Lenders) may seek to sell the DIP Collateral by private placement, and may restrict bidders and prospective purchasers to those who are willing to represent that they are purchasing for investment only and not for distribution and who otherwise satisfy qualifications designed to ensure compliance with the Securities Act and analogous state securities laws. Each Loan Party acknowledges that in order to protect the DIP Agent’s interest, it may be necessary to sell the DIP Collateral at a price less than the maximum price attainable if a sale were delayed or were made in another manner, including, without limitation, a public offering under the Securities Act. In order to address these potential compliance requirements, the DIP Agent (at the written direction of the Required Lenders) may solicit offers to purchase the DIP Collateral from a limited number of bidders reasonably believed by the DIP Agent (at the written direction of the Required Lenders) to be institutional investors or accredited investors. If the DIP Agent solicits offers in a commercially reasonable manner, then acceptance by the DIP Agent of one or more of the offers shall be deemed to be a commercially reasonable method of disposition of the DIP Collateral and the DIP Agent will not be responsible or liable for selling all or any portion of the DIP Collateral at a price that the DIP Agent (at the written direction of the Required Lenders, acting in good faith) deems to be reasonable. The DIP Agent is under no obligation to delay a disposition of any portion of the DIP Collateral that are securities under the Securities Act or applicable “Blue Sky” or other state securities law for the period of time necessary to permit any Loan Party to register the securities for public sale under the Securities Act or under applicable “Blue Sky” or other state securities laws, even if a Loan Party agrees to do so. In addition, to the extent not prohibited by applicable law, each Loan Party waives any right to prior notice (except to the extent expressly provided in this Agreement) or judicial hearing in connection with the taking possession or the disposition of any of the DIP Collateral, including any right which Loan Party otherwise would have.</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87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Receiver of the DIP Agent</w:t>
      </w:r>
      <w:r>
        <w:rPr>
          <w:rFonts w:ascii="Times New Roman" w:cs="Times New Roman" w:eastAsia="Times New Roman" w:hAnsi="Times New Roman"/>
          <w:sz w:val="18"/>
          <w:szCs w:val="18"/>
          <w:color w:val="auto"/>
        </w:rPr>
        <w:t>. The DIP Agent, at its option, at the written direction of the Required Lenders, may obtain the appointment of a receiver to take possession of the Investment Property and, at the option of the DIP Agent, a receiver may be empowered (i) to collect, receive and enforce all distributions, (ii) to exercise the rights of the DIP Agent as provided in this Agreement, (iii) to collect all other amounts owed to any Loan Party in respect of the Investment Property as and when due to any Loan Party, (iv) to otherwise collect, sell or dispose of the Investment Property, (v) to exercise all rights in and under the Investment Property; and (vi) to turn over all net proceeds to the DIP Agent. Each Loan Party irrevocably and unconditionally agrees that a receiver may be appointed by a court to take the actions listed above without regard to the adequacy of the security for the Obligations, and the actions of the receiver may be taken in the name of the receiver, any Loan Party or the DIP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Remedies</w:t>
      </w:r>
      <w:r>
        <w:rPr>
          <w:rFonts w:ascii="Times New Roman" w:cs="Times New Roman" w:eastAsia="Times New Roman" w:hAnsi="Times New Roman"/>
          <w:sz w:val="18"/>
          <w:szCs w:val="18"/>
          <w:color w:val="auto"/>
        </w:rPr>
        <w:t>. The DIP Agent (at the written direction of the Required Lenders) shall have the right to determine which rights, security, Liens or remedies the DIP Agent may at any time pursue, foreclose upon, relinquish, subordinate, modify or take any other action with respect to, without in any way impairing, modifying or affecting any of the DIP Agent’s other rights, security, Liens or remedies with respect to any DIP Collateral or any of the DIP Agent’s rights or remedies under this Agreement or any other DIP Loan Document.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Obligations</w:t>
      </w:r>
      <w:r>
        <w:rPr>
          <w:rFonts w:ascii="Times New Roman" w:cs="Times New Roman" w:eastAsia="Times New Roman" w:hAnsi="Times New Roman"/>
          <w:sz w:val="18"/>
          <w:szCs w:val="18"/>
          <w:color w:val="auto"/>
        </w:rPr>
        <w:t>. Each Loan Party agrees that the DIP Agent shall not have any obligation to preserve rights to any DIP Collateral against prior parties or to marshal any DIP Collateral of any kind for the benefit of any other creditor of any Loan Party or any other Person. The DIP Agent shall not be responsible to any Loan Party or any other Person for loss or damage resulting from the DIP Agent’s failure to enforce its Liens or collect any DIP Collateral or proceeds or any monies due or to become due under the Obligations or any other liability or obligation of any Loan Party to any Secured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6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Rights by Loan Parties</w:t>
      </w:r>
      <w:r>
        <w:rPr>
          <w:rFonts w:ascii="Times New Roman" w:cs="Times New Roman" w:eastAsia="Times New Roman" w:hAnsi="Times New Roman"/>
          <w:sz w:val="18"/>
          <w:szCs w:val="18"/>
          <w:color w:val="auto"/>
        </w:rPr>
        <w:t>. Except as otherwise expressly provided for in this Agreement or by non-waivable applicable law, each Borrower, on behalf of itself and the other Loan Parties, waives (i)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the DIP Agent on which any Loan Party may in any way be liable, and hereby ratifies and confirms whatever the DIP Agent may do in this regard, (ii) subject to the terms of the DIP Order, all rights to notice and a hearing prior to the DIP Agent’s taking possession or control of, or to the DIP Agent’s replevy, attachment or levy upon, the DIP Collateral or any bond or security which might be required by any court prior to allowing the DIP Agent to exercise any of its remedies and (iii) the benefit of all valuation, appraisal, marshaling and exemption laws. If any notice of a proposed sale or other disposition of any part of the DIP Collateral is required under applicable law, each Loan Party agrees that ten (10) calendar days prior notice of the time and place of any public sale and of the time after which any private sale or other disposition is to be made is commercially reasonable. Each Borrower, acknowledges, on behalf of itself and the other Loan Parties, that it has been advised by counsel of its choice with respect to the effect of the foregoing waivers and this Agreement, the other DIP Loan Documents and the transactions evidenced by this Agreement and the other DIP Loan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as of the date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ROYALTY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FAZOLI’S NATIVE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GFG ROYALTY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Twin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FAT BRANDS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Parent</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Manager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ACKNOWLEGED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BUFFALO’S FRANCHISE CONCEPTS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PONDEROSA FRANCHISING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PONDEROSA INTERNATIONAL DEVELOPMENT,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 PONDEROSA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HURRICANE AMT,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 FRANCHISES,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JOHNNY ROCKETS LICENSING CANADA,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FATBURGER NORTH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BONANZA RESTAURANT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YALLA MEDITERRANEAN FRANCHISING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JOHNNY ROCKETS LICENSING,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 VIRTUAL RESTAURANTS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SHOWCASE,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MSC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AFB DISSOLUTION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FRANCHISE BRANDS,LLC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 BAKE BY GREAT AMERICAN COOKIES,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MINI-BAKE BY GAC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MANUFACTURING,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BRAND AND MARKETING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SUPPLY,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PIZZA,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ADVERTISING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ADVERTISING FUND</w:t>
      </w:r>
    </w:p>
    <w:p>
      <w:pPr>
        <w:spacing w:after="0" w:line="207"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ROUND TABLE FRANCHISE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RESTAURANT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PROMOTIONS,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FRANCHISING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FRANCHISING SYSTEMS CANADA,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SYSTEMS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JOINT VENTURE,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NATIVE GRILL AND WINGS FRANCHISING,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 a FBG Subsidiary Guarantor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TWIN PEAKS BUYER,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SARASOTA 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PLANO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NORTHLAKE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INVESTMENT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 IRVING,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 IRVING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ANTONIO</w:t>
      </w:r>
    </w:p>
    <w:p>
      <w:pPr>
        <w:spacing w:after="0" w:line="9" w:lineRule="exact"/>
        <w:rPr>
          <w:sz w:val="20"/>
          <w:szCs w:val="20"/>
          <w:color w:val="auto"/>
        </w:rPr>
      </w:pPr>
    </w:p>
    <w:p>
      <w:pPr>
        <w:ind w:right="4879"/>
        <w:spacing w:after="0" w:line="250" w:lineRule="auto"/>
        <w:rPr>
          <w:sz w:val="20"/>
          <w:szCs w:val="20"/>
          <w:color w:val="auto"/>
        </w:rPr>
      </w:pPr>
      <w:r>
        <w:rPr>
          <w:rFonts w:ascii="Times New Roman" w:cs="Times New Roman" w:eastAsia="Times New Roman" w:hAnsi="Times New Roman"/>
          <w:sz w:val="18"/>
          <w:szCs w:val="18"/>
          <w:color w:val="auto"/>
        </w:rPr>
        <w:t>TWIN RESTAURANT SAN ANTONIO BEVERAGE HOLDING, LLC TWIN RESTAURANT WESTERN CENTER, LLC</w:t>
      </w:r>
    </w:p>
    <w:p>
      <w:pPr>
        <w:spacing w:after="0" w:line="1" w:lineRule="exact"/>
        <w:rPr>
          <w:sz w:val="20"/>
          <w:szCs w:val="20"/>
          <w:color w:val="auto"/>
        </w:rPr>
      </w:pPr>
    </w:p>
    <w:p>
      <w:pPr>
        <w:ind w:right="4499"/>
        <w:spacing w:after="0" w:line="250" w:lineRule="auto"/>
        <w:rPr>
          <w:sz w:val="20"/>
          <w:szCs w:val="20"/>
          <w:color w:val="auto"/>
        </w:rPr>
      </w:pPr>
      <w:r>
        <w:rPr>
          <w:rFonts w:ascii="Times New Roman" w:cs="Times New Roman" w:eastAsia="Times New Roman" w:hAnsi="Times New Roman"/>
          <w:sz w:val="18"/>
          <w:szCs w:val="18"/>
          <w:color w:val="auto"/>
        </w:rPr>
        <w:t>TWIN RESTAURANT WESTERN CENTER BEVERAGE HOLDING, LLC TWIN RESTAURANT ODESSA,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ODESSA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DENVER,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CENTENNIAL,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DENVER,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BROOMFIELD,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VIVA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INVESTMENT COMPANY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EL PASO,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EL PASO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NEW MEXICO,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FRANCHISE,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INTERNATIONAL FRANCHISE,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SUNLAND PARK, LLC</w:t>
      </w:r>
    </w:p>
    <w:p>
      <w:pPr>
        <w:spacing w:after="0" w:line="9" w:lineRule="exact"/>
        <w:rPr>
          <w:sz w:val="20"/>
          <w:szCs w:val="20"/>
          <w:color w:val="auto"/>
        </w:rPr>
      </w:pPr>
    </w:p>
    <w:p>
      <w:pPr>
        <w:ind w:right="4739"/>
        <w:spacing w:after="0" w:line="250" w:lineRule="auto"/>
        <w:rPr>
          <w:sz w:val="20"/>
          <w:szCs w:val="20"/>
          <w:color w:val="auto"/>
        </w:rPr>
      </w:pPr>
      <w:r>
        <w:rPr>
          <w:rFonts w:ascii="Times New Roman" w:cs="Times New Roman" w:eastAsia="Times New Roman" w:hAnsi="Times New Roman"/>
          <w:sz w:val="18"/>
          <w:szCs w:val="18"/>
          <w:color w:val="auto"/>
        </w:rPr>
        <w:t>TWIN RESTAURANT SUNLAND PARK BEVERAGE HOLDING, LLC TWIN RESTAURANT WESTOVER,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WESTOVER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PARK NORTH, LLC</w:t>
      </w:r>
    </w:p>
    <w:p>
      <w:pPr>
        <w:spacing w:after="0" w:line="9" w:lineRule="exact"/>
        <w:rPr>
          <w:sz w:val="20"/>
          <w:szCs w:val="20"/>
          <w:color w:val="auto"/>
        </w:rPr>
      </w:pPr>
    </w:p>
    <w:p>
      <w:pPr>
        <w:ind w:right="4979"/>
        <w:spacing w:after="0" w:line="250" w:lineRule="auto"/>
        <w:rPr>
          <w:sz w:val="20"/>
          <w:szCs w:val="20"/>
          <w:color w:val="auto"/>
        </w:rPr>
      </w:pPr>
      <w:r>
        <w:rPr>
          <w:rFonts w:ascii="Times New Roman" w:cs="Times New Roman" w:eastAsia="Times New Roman" w:hAnsi="Times New Roman"/>
          <w:sz w:val="18"/>
          <w:szCs w:val="18"/>
          <w:color w:val="auto"/>
        </w:rPr>
        <w:t>TWIN RESTAURANT PARK NORTH MANAGEMENT, LLC TWIN RESTAURANT PARK NORTH BEVERAGE HOLDING, LLC TWIN RESTAURANT S FORT WORTH, LLC</w:t>
      </w:r>
    </w:p>
    <w:p>
      <w:pPr>
        <w:spacing w:after="0" w:line="1" w:lineRule="exact"/>
        <w:rPr>
          <w:sz w:val="20"/>
          <w:szCs w:val="20"/>
          <w:color w:val="auto"/>
        </w:rPr>
      </w:pPr>
    </w:p>
    <w:p>
      <w:pPr>
        <w:ind w:right="4819"/>
        <w:spacing w:after="0" w:line="250" w:lineRule="auto"/>
        <w:rPr>
          <w:sz w:val="20"/>
          <w:szCs w:val="20"/>
          <w:color w:val="auto"/>
        </w:rPr>
      </w:pPr>
      <w:r>
        <w:rPr>
          <w:rFonts w:ascii="Times New Roman" w:cs="Times New Roman" w:eastAsia="Times New Roman" w:hAnsi="Times New Roman"/>
          <w:sz w:val="18"/>
          <w:szCs w:val="18"/>
          <w:color w:val="auto"/>
        </w:rPr>
        <w:t>TWIN RESTAURANT S FORT WORTH BEVERAGE HOLDING, LLC TWIN RESTAURANT WARRENVILLE, LLC TWIN RESTAURANT LV-2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LITTLE ROCK,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OAKBROOK,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VENTURE I, LLC</w:t>
      </w:r>
    </w:p>
    <w:p>
      <w:pPr>
        <w:spacing w:after="0" w:line="207"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TP TEXAS RESTAURANT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TEXAS BEVERAGE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AUSTIN,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ROUND ROCK,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TEXAS BEVERAGES,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JV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TPJV2,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JV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GA,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NEWPORT NEWS,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KISSIMMEE,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CITRUS 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CHESAPEAKE,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TYNGSBORO,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VIRGINIA BEACH,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BEVERAGE –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LEWISVILLE,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MARCOS, LLC</w:t>
      </w:r>
    </w:p>
    <w:p>
      <w:pPr>
        <w:spacing w:after="0" w:line="9" w:lineRule="exact"/>
        <w:rPr>
          <w:sz w:val="20"/>
          <w:szCs w:val="20"/>
          <w:color w:val="auto"/>
        </w:rPr>
      </w:pPr>
    </w:p>
    <w:p>
      <w:pPr>
        <w:ind w:right="4939"/>
        <w:spacing w:after="0" w:line="250" w:lineRule="auto"/>
        <w:rPr>
          <w:sz w:val="20"/>
          <w:szCs w:val="20"/>
          <w:color w:val="auto"/>
        </w:rPr>
      </w:pPr>
      <w:r>
        <w:rPr>
          <w:rFonts w:ascii="Times New Roman" w:cs="Times New Roman" w:eastAsia="Times New Roman" w:hAnsi="Times New Roman"/>
          <w:sz w:val="18"/>
          <w:szCs w:val="18"/>
          <w:color w:val="auto"/>
        </w:rPr>
        <w:t>TWIN RESTAURANT SAN MARCOS MANAGEMENT, LLC TWIN RESTAURANT SAN MARCOS BEVERAGE HOLDING, LLC TWIN RESTAURANT FRISCO, LLC TWIN RESTAURANT MIDLAND,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MIDLAND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ANGELO, LLC</w:t>
      </w:r>
    </w:p>
    <w:p>
      <w:pPr>
        <w:spacing w:after="0" w:line="9" w:lineRule="exact"/>
        <w:rPr>
          <w:sz w:val="20"/>
          <w:szCs w:val="20"/>
          <w:color w:val="auto"/>
        </w:rPr>
      </w:pPr>
    </w:p>
    <w:p>
      <w:pPr>
        <w:ind w:right="4959"/>
        <w:spacing w:after="0" w:line="250" w:lineRule="auto"/>
        <w:rPr>
          <w:sz w:val="20"/>
          <w:szCs w:val="20"/>
          <w:color w:val="auto"/>
        </w:rPr>
      </w:pPr>
      <w:r>
        <w:rPr>
          <w:rFonts w:ascii="Times New Roman" w:cs="Times New Roman" w:eastAsia="Times New Roman" w:hAnsi="Times New Roman"/>
          <w:sz w:val="18"/>
          <w:szCs w:val="18"/>
          <w:color w:val="auto"/>
        </w:rPr>
        <w:t>TWIN RESTAURANT SAN ANGELO MANAGEMENT, LLC TWIN RESTAURANT SAN ANGELO BEVERAGE HOLDING, LLC TWIN RESTAURANT AMARILLO,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AMARILLO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AMARILLO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GRAND PRAIRIE, LLC</w:t>
      </w:r>
    </w:p>
    <w:p>
      <w:pPr>
        <w:spacing w:after="0" w:line="9" w:lineRule="exact"/>
        <w:rPr>
          <w:sz w:val="20"/>
          <w:szCs w:val="20"/>
          <w:color w:val="auto"/>
        </w:rPr>
      </w:pPr>
    </w:p>
    <w:p>
      <w:pPr>
        <w:ind w:right="4719"/>
        <w:spacing w:after="0" w:line="255" w:lineRule="auto"/>
        <w:rPr>
          <w:sz w:val="20"/>
          <w:szCs w:val="20"/>
          <w:color w:val="auto"/>
        </w:rPr>
      </w:pPr>
      <w:r>
        <w:rPr>
          <w:rFonts w:ascii="Times New Roman" w:cs="Times New Roman" w:eastAsia="Times New Roman" w:hAnsi="Times New Roman"/>
          <w:sz w:val="18"/>
          <w:szCs w:val="18"/>
          <w:color w:val="auto"/>
        </w:rPr>
        <w:t>TWIN RESTAURANT GRAND PRAIRIE MANAGEMENT, LLC TWIN RESTAURANT GRAND PRAIRIE BEVERAGE HOLDING, LLC TWIN RESTAURANT LAKELAND, LLC</w:t>
      </w:r>
    </w:p>
    <w:p>
      <w:pPr>
        <w:spacing w:after="0" w:line="186"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TWIN RESTAURANT BRANDON,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SARASOTA,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NORTHLAKE, LLC</w:t>
      </w:r>
    </w:p>
    <w:p>
      <w:pPr>
        <w:spacing w:after="0" w:line="9" w:lineRule="exact"/>
        <w:rPr>
          <w:sz w:val="20"/>
          <w:szCs w:val="20"/>
          <w:color w:val="auto"/>
        </w:rPr>
      </w:pPr>
    </w:p>
    <w:p>
      <w:pPr>
        <w:ind w:right="4959"/>
        <w:spacing w:after="0" w:line="250" w:lineRule="auto"/>
        <w:rPr>
          <w:sz w:val="20"/>
          <w:szCs w:val="20"/>
          <w:color w:val="auto"/>
        </w:rPr>
      </w:pPr>
      <w:r>
        <w:rPr>
          <w:rFonts w:ascii="Times New Roman" w:cs="Times New Roman" w:eastAsia="Times New Roman" w:hAnsi="Times New Roman"/>
          <w:sz w:val="18"/>
          <w:szCs w:val="18"/>
          <w:color w:val="auto"/>
        </w:rPr>
        <w:t>TWIN RESTAURANT NORTHLAKE BEVERAGE HOLDING, LLC, TWIN RESTAURANT PLANO,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PLANO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FL PAYROLL,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BARBEQUE INTEGRATED,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SMOKEY BONES,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GMR OF PENNSYLVANIA-SB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CARD SOLUTIONS,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 a Twin Subsidiary Guarantor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color w:val="auto"/>
        </w:rPr>
        <w:t>[DIP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UMB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DIP Agent</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Prital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Prital K. Patel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7"/>
          <w:szCs w:val="17"/>
          <w:color w:val="auto"/>
        </w:rPr>
        <w:t>Lender Signature Pages, Schedules, and Exhibits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STIPULATED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40575" cy="6257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0575" cy="6257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1)"/>
      <w:numFmt w:val="lowerRoman"/>
      <w:start w:val="2"/>
    </w:lvl>
  </w:abstractNum>
  <w:abstractNum w:abstractNumId="2">
    <w:nsid w:val="5092CA79"/>
    <w:multiLevelType w:val="hybridMultilevel"/>
    <w:lvl w:ilvl="0">
      <w:lvlJc w:val="left"/>
      <w:lvlText w:val="(%1)"/>
      <w:numFmt w:val="lowerLetter"/>
      <w:start w:val="4"/>
    </w:lvl>
  </w:abstractNum>
  <w:abstractNum w:abstractNumId="3">
    <w:nsid w:val="1D545C4D"/>
    <w:multiLevelType w:val="hybridMultilevel"/>
    <w:lvl w:ilvl="0">
      <w:lvlJc w:val="left"/>
      <w:lvlText w:val="1"/>
      <w:numFmt w:val="bullet"/>
      <w:start w:val="1"/>
    </w:lvl>
  </w:abstractNum>
  <w:abstractNum w:abstractNumId="4">
    <w:nsid w:val="59ADEA3D"/>
    <w:multiLevelType w:val="hybridMultilevel"/>
    <w:lvl w:ilvl="0">
      <w:lvlJc w:val="left"/>
      <w:lvlText w:val="2"/>
      <w:numFmt w:val="bullet"/>
      <w:start w:val="1"/>
    </w:lvl>
  </w:abstractNum>
  <w:abstractNum w:abstractNumId="5">
    <w:nsid w:val="288F1A34"/>
    <w:multiLevelType w:val="hybridMultilevel"/>
    <w:lvl w:ilvl="0">
      <w:lvlJc w:val="left"/>
      <w:lvlText w:val="%1."/>
      <w:numFmt w:val="decimal"/>
      <w:start w:val="1"/>
    </w:lvl>
  </w:abstractNum>
  <w:abstractNum w:abstractNumId="6">
    <w:nsid w:val="2A155DBC"/>
    <w:multiLevelType w:val="hybridMultilevel"/>
    <w:lvl w:ilvl="0">
      <w:lvlJc w:val="left"/>
      <w:lvlText w:val="%1."/>
      <w:numFmt w:val="decimal"/>
      <w:start w:val="6"/>
    </w:lvl>
  </w:abstractNum>
  <w:abstractNum w:abstractNumId="7">
    <w:nsid w:val="1D9F6E5F"/>
    <w:multiLevelType w:val="hybridMultilevel"/>
    <w:lvl w:ilvl="0">
      <w:lvlJc w:val="left"/>
      <w:lvlText w:val="%1."/>
      <w:numFmt w:val="decimal"/>
      <w:start w:val="11"/>
    </w:lvl>
  </w:abstractNum>
  <w:abstractNum w:abstractNumId="8">
    <w:nsid w:val="97E1B4E"/>
    <w:multiLevelType w:val="hybridMultilevel"/>
    <w:lvl w:ilvl="0">
      <w:lvlJc w:val="left"/>
      <w:lvlText w:val="%1"/>
      <w:numFmt w:val="decimal"/>
      <w:start w:val="1"/>
    </w:lvl>
    <w:lvl w:ilvl="1">
      <w:lvlJc w:val="left"/>
      <w:lvlText w:val="●"/>
      <w:numFmt w:val="bullet"/>
      <w:start w:val="1"/>
    </w:lvl>
  </w:abstractNum>
  <w:abstractNum w:abstractNumId="9">
    <w:nsid w:val="51088277"/>
    <w:multiLevelType w:val="hybridMultilevel"/>
    <w:lvl w:ilvl="0">
      <w:lvlJc w:val="left"/>
      <w:lvlText w:val="2"/>
      <w:numFmt w:val="bullet"/>
      <w:start w:val="1"/>
    </w:lvl>
  </w:abstractNum>
  <w:abstractNum w:abstractNumId="10">
    <w:nsid w:val="1CA0C5FA"/>
    <w:multiLevelType w:val="hybridMultilevel"/>
    <w:lvl w:ilvl="0">
      <w:lvlJc w:val="left"/>
      <w:lvlText w:val="3"/>
      <w:numFmt w:val="bullet"/>
      <w:start w:val="1"/>
    </w:lvl>
  </w:abstractNum>
  <w:abstractNum w:abstractNumId="11">
    <w:nsid w:val="53584BCB"/>
    <w:multiLevelType w:val="hybridMultilevel"/>
    <w:lvl w:ilvl="0">
      <w:lvlJc w:val="left"/>
      <w:lvlText w:val="4"/>
      <w:numFmt w:val="bullet"/>
      <w:start w:val="1"/>
    </w:lvl>
  </w:abstractNum>
  <w:abstractNum w:abstractNumId="12">
    <w:nsid w:val="415E286C"/>
    <w:multiLevelType w:val="hybridMultilevel"/>
    <w:lvl w:ilvl="0">
      <w:lvlJc w:val="left"/>
      <w:lvlText w:val="5"/>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6"/>
      <w:numFmt w:val="bullet"/>
      <w:start w:val="1"/>
    </w:lvl>
  </w:abstractNum>
  <w:abstractNum w:abstractNumId="16">
    <w:nsid w:val="5C10FE21"/>
    <w:multiLevelType w:val="hybridMultilevel"/>
    <w:lvl w:ilvl="0">
      <w:lvlJc w:val="left"/>
      <w:lvlText w:val="7"/>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8"/>
      <w:numFmt w:val="bullet"/>
      <w:start w:val="1"/>
    </w:lvl>
  </w:abstractNum>
  <w:abstractNum w:abstractNumId="19">
    <w:nsid w:val="4BD8591A"/>
    <w:multiLevelType w:val="hybridMultilevel"/>
    <w:lvl w:ilvl="0">
      <w:lvlJc w:val="left"/>
      <w:lvlText w:val="9"/>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lvl w:ilvl="1">
      <w:lvlJc w:val="left"/>
      <w:lvlText w:val="(%2)"/>
      <w:numFmt w:val="lowerLetter"/>
      <w:start w:val="4"/>
    </w:lvl>
  </w:abstractNum>
  <w:abstractNum w:abstractNumId="22">
    <w:nsid w:val="2B0D8DBE"/>
    <w:multiLevelType w:val="hybridMultilevel"/>
    <w:lvl w:ilvl="0">
      <w:lvlJc w:val="left"/>
      <w:lvlText w:val="&amp;"/>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lvl w:ilvl="1">
      <w:lvlJc w:val="left"/>
      <w:lvlText w:val="■"/>
      <w:numFmt w:val="bullet"/>
      <w:start w:val="1"/>
    </w:lvl>
  </w:abstractNum>
  <w:abstractNum w:abstractNumId="25">
    <w:nsid w:val="69E3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1"/>
      <w:numFmt w:val="decimal"/>
      <w:start w:val="10"/>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1"/>
      <w:numFmt w:val="decimal"/>
      <w:start w:val="1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1"/>
      <w:numFmt w:val="decimal"/>
      <w:start w:val="12"/>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1"/>
      <w:numFmt w:val="bullet"/>
      <w:start w:val="1"/>
    </w:lvl>
  </w:abstractNum>
  <w:abstractNum w:abstractNumId="36">
    <w:nsid w:val="4F97E3E4"/>
    <w:multiLevelType w:val="hybridMultilevel"/>
    <w:lvl w:ilvl="0">
      <w:lvlJc w:val="left"/>
      <w:lvlText w:val="(%1)"/>
      <w:numFmt w:val="upperLetter"/>
      <w:start w:val="35"/>
    </w:lvl>
    <w:lvl w:ilvl="1">
      <w:lvlJc w:val="left"/>
      <w:lvlText w:val="%2"/>
      <w:numFmt w:val="lowerRoman"/>
      <w:start w:val="1"/>
    </w:lvl>
  </w:abstractNum>
  <w:abstractNum w:abstractNumId="37">
    <w:nsid w:val="53B0A9E"/>
    <w:multiLevelType w:val="hybridMultilevel"/>
    <w:lvl w:ilvl="0">
      <w:lvlJc w:val="left"/>
      <w:lvlText w:val="(%1)"/>
      <w:numFmt w:val="upperLetter"/>
      <w:start w:val="2"/>
    </w:lvl>
    <w:lvl w:ilvl="1">
      <w:lvlJc w:val="left"/>
      <w:lvlText w:val="(%2)"/>
      <w:numFmt w:val="lowerRoman"/>
      <w:start w:val="1"/>
    </w:lvl>
  </w:abstractNum>
  <w:abstractNum w:abstractNumId="38">
    <w:nsid w:val="34FD6B4F"/>
    <w:multiLevelType w:val="hybridMultilevel"/>
    <w:lvl w:ilvl="0">
      <w:lvlJc w:val="left"/>
      <w:lvlText w:val="2"/>
      <w:numFmt w:val="bullet"/>
      <w:start w:val="1"/>
    </w:lvl>
  </w:abstractNum>
  <w:abstractNum w:abstractNumId="39">
    <w:nsid w:val="5915FF32"/>
    <w:multiLevelType w:val="hybridMultilevel"/>
    <w:lvl w:ilvl="0">
      <w:lvlJc w:val="left"/>
      <w:lvlText w:val="(%1)"/>
      <w:numFmt w:val="lowerRoman"/>
      <w:start w:val="2"/>
    </w:lvl>
  </w:abstractNum>
  <w:abstractNum w:abstractNumId="40">
    <w:nsid w:val="56438D15"/>
    <w:multiLevelType w:val="hybridMultilevel"/>
    <w:lvl w:ilvl="0">
      <w:lvlJc w:val="left"/>
      <w:lvlText w:val="3"/>
      <w:numFmt w:val="bullet"/>
      <w:start w:val="1"/>
    </w:lvl>
  </w:abstractNum>
  <w:abstractNum w:abstractNumId="41">
    <w:nsid w:val="519E3149"/>
    <w:multiLevelType w:val="hybridMultilevel"/>
    <w:lvl w:ilvl="0">
      <w:lvlJc w:val="left"/>
      <w:lvlText w:val="4"/>
      <w:numFmt w:val="bullet"/>
      <w:start w:val="1"/>
    </w:lvl>
  </w:abstractNum>
  <w:abstractNum w:abstractNumId="42">
    <w:nsid w:val="2C6E4AFD"/>
    <w:multiLevelType w:val="hybridMultilevel"/>
    <w:lvl w:ilvl="0">
      <w:lvlJc w:val="left"/>
      <w:lvlText w:val="(%1)"/>
      <w:numFmt w:val="lowerRoman"/>
      <w:start w:val="3"/>
    </w:lvl>
  </w:abstractNum>
  <w:abstractNum w:abstractNumId="43">
    <w:nsid w:val="17A1B582"/>
    <w:multiLevelType w:val="hybridMultilevel"/>
    <w:lvl w:ilvl="0">
      <w:lvlJc w:val="left"/>
      <w:lvlText w:val="5"/>
      <w:numFmt w:val="bullet"/>
      <w:start w:val="1"/>
    </w:lvl>
  </w:abstractNum>
  <w:abstractNum w:abstractNumId="44">
    <w:nsid w:val="4DF72E4E"/>
    <w:multiLevelType w:val="hybridMultilevel"/>
    <w:lvl w:ilvl="0">
      <w:lvlJc w:val="left"/>
      <w:lvlText w:val="(%1)"/>
      <w:numFmt w:val="lowerLetter"/>
      <w:start w:val="3"/>
    </w:lvl>
  </w:abstractNum>
  <w:abstractNum w:abstractNumId="45">
    <w:nsid w:val="5046B5A9"/>
    <w:multiLevelType w:val="hybridMultilevel"/>
    <w:lvl w:ilvl="0">
      <w:lvlJc w:val="left"/>
      <w:lvlText w:val="(%1)"/>
      <w:numFmt w:val="lowerRoman"/>
      <w:start w:val="1"/>
    </w:lvl>
  </w:abstractNum>
  <w:abstractNum w:abstractNumId="46">
    <w:nsid w:val="5D888A08"/>
    <w:multiLevelType w:val="hybridMultilevel"/>
    <w:lvl w:ilvl="0">
      <w:lvlJc w:val="left"/>
      <w:lvlText w:val="(%1)"/>
      <w:numFmt w:val="upperLetter"/>
      <w:start w:val="3"/>
    </w:lvl>
  </w:abstractNum>
  <w:abstractNum w:abstractNumId="47">
    <w:nsid w:val="2A082C70"/>
    <w:multiLevelType w:val="hybridMultilevel"/>
    <w:lvl w:ilvl="0">
      <w:lvlJc w:val="left"/>
      <w:lvlText w:val="6"/>
      <w:numFmt w:val="bullet"/>
      <w:start w:val="1"/>
    </w:lvl>
  </w:abstractNum>
  <w:abstractNum w:abstractNumId="48">
    <w:nsid w:val="5EC6AFD4"/>
    <w:multiLevelType w:val="hybridMultilevel"/>
    <w:lvl w:ilvl="0">
      <w:lvlJc w:val="left"/>
      <w:lvlText w:val="(%1)"/>
      <w:numFmt w:val="lowerRoman"/>
      <w:start w:val="2"/>
    </w:lvl>
  </w:abstractNum>
  <w:abstractNum w:abstractNumId="49">
    <w:nsid w:val="19E21BB2"/>
    <w:multiLevelType w:val="hybridMultilevel"/>
    <w:lvl w:ilvl="0">
      <w:lvlJc w:val="left"/>
      <w:lvlText w:val="(%1)"/>
      <w:numFmt w:val="lowerRoman"/>
      <w:start w:val="6"/>
    </w:lvl>
  </w:abstractNum>
  <w:abstractNum w:abstractNumId="50">
    <w:nsid w:val="75E0858A"/>
    <w:multiLevelType w:val="hybridMultilevel"/>
    <w:lvl w:ilvl="0">
      <w:lvlJc w:val="left"/>
      <w:lvlText w:val="7"/>
      <w:numFmt w:val="bullet"/>
      <w:start w:val="1"/>
    </w:lvl>
  </w:abstractNum>
  <w:abstractNum w:abstractNumId="51">
    <w:nsid w:val="57A61A29"/>
    <w:multiLevelType w:val="hybridMultilevel"/>
    <w:lvl w:ilvl="0">
      <w:lvlJc w:val="left"/>
      <w:lvlText w:val="8"/>
      <w:numFmt w:val="bullet"/>
      <w:start w:val="1"/>
    </w:lvl>
  </w:abstractNum>
  <w:abstractNum w:abstractNumId="52">
    <w:nsid w:val="5399C654"/>
    <w:multiLevelType w:val="hybridMultilevel"/>
    <w:lvl w:ilvl="0">
      <w:lvlJc w:val="left"/>
      <w:lvlText w:val="(%1)"/>
      <w:numFmt w:val="lowerRoman"/>
      <w:start w:val="8"/>
    </w:lvl>
  </w:abstractNum>
  <w:abstractNum w:abstractNumId="53">
    <w:nsid w:val="20EE1348"/>
    <w:multiLevelType w:val="hybridMultilevel"/>
    <w:lvl w:ilvl="0">
      <w:lvlJc w:val="left"/>
      <w:lvlText w:val="(%1)"/>
      <w:numFmt w:val="lowerRoman"/>
      <w:start w:val="14"/>
    </w:lvl>
  </w:abstractNum>
  <w:abstractNum w:abstractNumId="54">
    <w:nsid w:val="4427069A"/>
    <w:multiLevelType w:val="hybridMultilevel"/>
    <w:lvl w:ilvl="0">
      <w:lvlJc w:val="left"/>
      <w:lvlText w:val="%1."/>
      <w:numFmt w:val="upperLetter"/>
      <w:start w:val="6"/>
    </w:lvl>
  </w:abstractNum>
  <w:abstractNum w:abstractNumId="55">
    <w:nsid w:val="B37E80A"/>
    <w:multiLevelType w:val="hybridMultilevel"/>
    <w:lvl w:ilvl="0">
      <w:lvlJc w:val="left"/>
      <w:lvlText w:val="%1"/>
      <w:numFmt w:val="upperLetter"/>
      <w:start w:val="1"/>
    </w:lvl>
    <w:lvl w:ilvl="1">
      <w:lvlJc w:val="left"/>
      <w:lvlText w:val="(%2)"/>
      <w:numFmt w:val="lowerLetter"/>
      <w:start w:val="1"/>
    </w:lvl>
  </w:abstractNum>
  <w:abstractNum w:abstractNumId="56">
    <w:nsid w:val="2157F6BC"/>
    <w:multiLevelType w:val="hybridMultilevel"/>
    <w:lvl w:ilvl="0">
      <w:lvlJc w:val="left"/>
      <w:lvlText w:val="%1."/>
      <w:numFmt w:val="upperLetter"/>
      <w:start w:val="13"/>
    </w:lvl>
    <w:lvl w:ilvl="1">
      <w:lvlJc w:val="left"/>
      <w:lvlText w:val="%2"/>
      <w:numFmt w:val="lowerLetter"/>
      <w:start w:val="1"/>
    </w:lvl>
  </w:abstractNum>
  <w:abstractNum w:abstractNumId="57">
    <w:nsid w:val="704E1DD5"/>
    <w:multiLevelType w:val="hybridMultilevel"/>
    <w:lvl w:ilvl="0">
      <w:lvlJc w:val="left"/>
      <w:lvlText w:val="%1."/>
      <w:numFmt w:val="decimal"/>
      <w:start w:val="1"/>
    </w:lvl>
    <w:lvl w:ilvl="1">
      <w:lvlJc w:val="left"/>
      <w:lvlText w:val="(%2)"/>
      <w:numFmt w:val="lowerLetter"/>
      <w:start w:val="1"/>
    </w:lvl>
  </w:abstractNum>
  <w:abstractNum w:abstractNumId="58">
    <w:nsid w:val="57D2F10E"/>
    <w:multiLevelType w:val="hybridMultilevel"/>
    <w:lvl w:ilvl="0">
      <w:lvlJc w:val="left"/>
      <w:lvlText w:val="9"/>
      <w:numFmt w:val="bullet"/>
      <w:start w:val="1"/>
    </w:lvl>
  </w:abstractNum>
  <w:abstractNum w:abstractNumId="59">
    <w:nsid w:val="BFFAE18"/>
    <w:multiLevelType w:val="hybridMultilevel"/>
    <w:lvl w:ilvl="0">
      <w:lvlJc w:val="left"/>
      <w:lvlText w:val="%1"/>
      <w:numFmt w:val="lowerLetter"/>
      <w:start w:val="1"/>
    </w:lvl>
    <w:lvl w:ilvl="1">
      <w:lvlJc w:val="left"/>
      <w:lvlText w:val="(%2)"/>
      <w:numFmt w:val="lowerLetter"/>
      <w:start w:val="3"/>
    </w:lvl>
  </w:abstractNum>
  <w:abstractNum w:abstractNumId="60">
    <w:nsid w:val="E3E47A8"/>
    <w:multiLevelType w:val="hybridMultilevel"/>
    <w:lvl w:ilvl="0">
      <w:lvlJc w:val="left"/>
      <w:lvlText w:val="(%1)"/>
      <w:numFmt w:val="lowerLetter"/>
      <w:start w:val="61"/>
    </w:lvl>
    <w:lvl w:ilvl="1">
      <w:lvlJc w:val="left"/>
      <w:lvlText w:val="(%2)"/>
      <w:numFmt w:val="lowerLetter"/>
      <w:start w:val="5"/>
    </w:lvl>
  </w:abstractNum>
  <w:abstractNum w:abstractNumId="61">
    <w:nsid w:val="2E48F044"/>
    <w:multiLevelType w:val="hybridMultilevel"/>
    <w:lvl w:ilvl="0">
      <w:lvlJc w:val="left"/>
      <w:lvlText w:val="(%1)"/>
      <w:numFmt w:val="lowerLetter"/>
      <w:start w:val="6"/>
    </w:lvl>
  </w:abstractNum>
  <w:abstractNum w:abstractNumId="62">
    <w:nsid w:val="49D0FEAC"/>
    <w:multiLevelType w:val="hybridMultilevel"/>
    <w:lvl w:ilvl="0">
      <w:lvlJc w:val="left"/>
      <w:lvlText w:val="%1"/>
      <w:numFmt w:val="decimal"/>
      <w:start w:val="10"/>
    </w:lvl>
  </w:abstractNum>
  <w:abstractNum w:abstractNumId="63">
    <w:nsid w:val="4BEE5A5B"/>
    <w:multiLevelType w:val="hybridMultilevel"/>
    <w:lvl w:ilvl="0">
      <w:lvlJc w:val="left"/>
      <w:lvlText w:val="(%1)"/>
      <w:numFmt w:val="lowerRoman"/>
      <w:start w:val="1"/>
    </w:lvl>
  </w:abstractNum>
  <w:abstractNum w:abstractNumId="64">
    <w:nsid w:val="5551B9F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65">
    <w:nsid w:val="24F6AB8E"/>
    <w:multiLevelType w:val="hybridMultilevel"/>
    <w:lvl w:ilvl="0">
      <w:lvlJc w:val="left"/>
      <w:lvlText w:val="(%1)"/>
      <w:numFmt w:val="upperLetter"/>
      <w:start w:val="2"/>
    </w:lvl>
    <w:lvl w:ilvl="1">
      <w:lvlJc w:val="left"/>
      <w:lvlText w:val="(%2)"/>
      <w:numFmt w:val="lowerLetter"/>
      <w:start w:val="10"/>
    </w:lvl>
    <w:lvl w:ilvl="2">
      <w:lvlJc w:val="left"/>
      <w:lvlText w:val="(%3)"/>
      <w:numFmt w:val="lowerLetter"/>
      <w:start w:val="9"/>
    </w:lvl>
    <w:lvl w:ilvl="3">
      <w:lvlJc w:val="left"/>
      <w:lvlText w:val="%4"/>
      <w:numFmt w:val="lowerLetter"/>
      <w:start w:val="1"/>
    </w:lvl>
  </w:abstractNum>
  <w:abstractNum w:abstractNumId="66">
    <w:nsid w:val="634C574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67">
    <w:nsid w:val="24E99DD7"/>
    <w:multiLevelType w:val="hybridMultilevel"/>
    <w:lvl w:ilvl="0">
      <w:lvlJc w:val="left"/>
      <w:lvlText w:val="%1"/>
      <w:numFmt w:val="decimal"/>
      <w:start w:val="11"/>
    </w:lvl>
  </w:abstractNum>
  <w:abstractNum w:abstractNumId="68">
    <w:nsid w:val="2A31B62D"/>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69">
    <w:nsid w:val="1849C29B"/>
    <w:multiLevelType w:val="hybridMultilevel"/>
    <w:lvl w:ilvl="0">
      <w:lvlJc w:val="left"/>
      <w:lvlText w:val="(%1)"/>
      <w:numFmt w:val="lowerLetter"/>
      <w:start w:val="13"/>
    </w:lvl>
    <w:lvl w:ilvl="1">
      <w:lvlJc w:val="left"/>
      <w:lvlText w:val="%2"/>
      <w:numFmt w:val="lowerLetter"/>
      <w:start w:val="1"/>
    </w:lvl>
    <w:lvl w:ilvl="2">
      <w:lvlJc w:val="left"/>
      <w:lvlText w:val="(%3)"/>
      <w:numFmt w:val="lowerRoman"/>
      <w:start w:val="1"/>
    </w:lvl>
  </w:abstractNum>
  <w:abstractNum w:abstractNumId="70">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abstractNum>
  <w:abstractNum w:abstractNumId="71">
    <w:nsid w:val="75434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2">
    <w:nsid w:val="69E7F3E5"/>
    <w:multiLevelType w:val="hybridMultilevel"/>
    <w:lvl w:ilvl="0">
      <w:lvlJc w:val="left"/>
      <w:lvlText w:val="(%1)"/>
      <w:numFmt w:val="lowerLetter"/>
      <w:start w:val="2"/>
    </w:lvl>
  </w:abstractNum>
  <w:abstractNum w:abstractNumId="73">
    <w:nsid w:val="2A6DE806"/>
    <w:multiLevelType w:val="hybridMultilevel"/>
    <w:lvl w:ilvl="0">
      <w:lvlJc w:val="left"/>
      <w:lvlText w:val="%1."/>
      <w:numFmt w:val="decimal"/>
      <w:start w:val="4"/>
    </w:lvl>
  </w:abstractNum>
  <w:abstractNum w:abstractNumId="74">
    <w:nsid w:val="1816F8C4"/>
    <w:multiLevelType w:val="hybridMultilevel"/>
    <w:lvl w:ilvl="0">
      <w:lvlJc w:val="left"/>
      <w:lvlText w:val="%1."/>
      <w:numFmt w:val="decimal"/>
      <w:start w:val="6"/>
    </w:lvl>
    <w:lvl w:ilvl="1">
      <w:lvlJc w:val="left"/>
      <w:lvlText w:val="(%2)"/>
      <w:numFmt w:val="lowerLetter"/>
      <w:start w:val="1"/>
    </w:lvl>
  </w:abstractNum>
  <w:abstractNum w:abstractNumId="75">
    <w:nsid w:val="37DF2233"/>
    <w:multiLevelType w:val="hybridMultilevel"/>
    <w:lvl w:ilvl="0">
      <w:lvlJc w:val="left"/>
      <w:lvlText w:val="(%1)"/>
      <w:numFmt w:val="lowerLetter"/>
      <w:start w:val="3"/>
    </w:lvl>
  </w:abstractNum>
  <w:abstractNum w:abstractNumId="76">
    <w:nsid w:val="7AB49DAF"/>
    <w:multiLevelType w:val="hybridMultilevel"/>
    <w:lvl w:ilvl="0">
      <w:lvlJc w:val="left"/>
      <w:lvlText w:val="%1"/>
      <w:numFmt w:val="decimal"/>
      <w:start w:val="12"/>
    </w:lvl>
  </w:abstractNum>
  <w:abstractNum w:abstractNumId="77">
    <w:nsid w:val="759F82CD"/>
    <w:multiLevelType w:val="hybridMultilevel"/>
    <w:lvl w:ilvl="0">
      <w:lvlJc w:val="left"/>
      <w:lvlText w:val="%1."/>
      <w:numFmt w:val="decimal"/>
      <w:start w:val="8"/>
    </w:lvl>
    <w:lvl w:ilvl="1">
      <w:lvlJc w:val="left"/>
      <w:lvlText w:val="(%2)"/>
      <w:numFmt w:val="lowerLetter"/>
      <w:start w:val="1"/>
    </w:lvl>
  </w:abstractNum>
  <w:abstractNum w:abstractNumId="78">
    <w:nsid w:val="61E74EA3"/>
    <w:multiLevelType w:val="hybridMultilevel"/>
    <w:lvl w:ilvl="0">
      <w:lvlJc w:val="left"/>
      <w:lvlText w:val="%1"/>
      <w:numFmt w:val="lowerLetter"/>
      <w:start w:val="1"/>
    </w:lvl>
    <w:lvl w:ilvl="1">
      <w:lvlJc w:val="left"/>
      <w:lvlText w:val="(%2)"/>
      <w:numFmt w:val="lowerLetter"/>
      <w:start w:val="2"/>
    </w:lvl>
  </w:abstractNum>
  <w:abstractNum w:abstractNumId="79">
    <w:nsid w:val="597B4D84"/>
    <w:multiLevelType w:val="hybridMultilevel"/>
    <w:lvl w:ilvl="0">
      <w:lvlJc w:val="left"/>
      <w:lvlText w:val="(%1)"/>
      <w:numFmt w:val="lowerLetter"/>
      <w:start w:val="35"/>
    </w:lvl>
    <w:lvl w:ilvl="1">
      <w:lvlJc w:val="left"/>
      <w:lvlText w:val="%2"/>
      <w:numFmt w:val="lowerLetter"/>
      <w:start w:val="1"/>
    </w:lvl>
  </w:abstractNum>
  <w:abstractNum w:abstractNumId="80">
    <w:nsid w:val="F819E7F"/>
    <w:multiLevelType w:val="hybridMultilevel"/>
    <w:lvl w:ilvl="0">
      <w:lvlJc w:val="left"/>
      <w:lvlText w:val="(%1)"/>
      <w:numFmt w:val="lowerLetter"/>
      <w:start w:val="4"/>
    </w:lvl>
  </w:abstractNum>
  <w:abstractNum w:abstractNumId="81">
    <w:nsid w:val="57C7D42D"/>
    <w:multiLevelType w:val="hybridMultilevel"/>
    <w:lvl w:ilvl="0">
      <w:lvlJc w:val="left"/>
      <w:lvlText w:val="(%1)"/>
      <w:numFmt w:val="lowerLetter"/>
      <w:start w:val="6"/>
    </w:lvl>
  </w:abstractNum>
  <w:abstractNum w:abstractNumId="82">
    <w:nsid w:val="312167AD"/>
    <w:multiLevelType w:val="hybridMultilevel"/>
    <w:lvl w:ilvl="0">
      <w:lvlJc w:val="left"/>
      <w:lvlText w:val="%1"/>
      <w:numFmt w:val="decimal"/>
      <w:start w:val="1"/>
    </w:lvl>
    <w:lvl w:ilvl="1">
      <w:lvlJc w:val="left"/>
      <w:lvlText w:val="(%2)"/>
      <w:numFmt w:val="lowerLetter"/>
      <w:start w:val="9"/>
    </w:lvl>
  </w:abstractNum>
  <w:abstractNum w:abstractNumId="83">
    <w:nsid w:val="631B64D4"/>
    <w:multiLevelType w:val="hybridMultilevel"/>
    <w:lvl w:ilvl="0">
      <w:lvlJc w:val="left"/>
      <w:lvlText w:val="%1."/>
      <w:numFmt w:val="decimal"/>
      <w:start w:val="9"/>
    </w:lvl>
    <w:lvl w:ilvl="1">
      <w:lvlJc w:val="left"/>
      <w:lvlText w:val="%2"/>
      <w:numFmt w:val="lowerLetter"/>
      <w:start w:val="1"/>
    </w:lvl>
  </w:abstractNum>
  <w:abstractNum w:abstractNumId="84">
    <w:nsid w:val="78B5E776"/>
    <w:multiLevelType w:val="hybridMultilevel"/>
    <w:lvl w:ilvl="0">
      <w:lvlJc w:val="left"/>
      <w:lvlText w:val="%1."/>
      <w:numFmt w:val="decimal"/>
      <w:start w:val="11"/>
    </w:lvl>
  </w:abstractNum>
  <w:abstractNum w:abstractNumId="85">
    <w:nsid w:val="75486E47"/>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86">
    <w:nsid w:val="6E534CD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87">
    <w:nsid w:val="1A0DDE32"/>
    <w:multiLevelType w:val="hybridMultilevel"/>
    <w:lvl w:ilvl="0">
      <w:lvlJc w:val="left"/>
      <w:lvlText w:val="(%1)"/>
      <w:numFmt w:val="lowerLetter"/>
      <w:start w:val="3"/>
    </w:lvl>
  </w:abstractNum>
  <w:abstractNum w:abstractNumId="88">
    <w:nsid w:val="65968C1C"/>
    <w:multiLevelType w:val="hybridMultilevel"/>
    <w:lvl w:ilvl="0">
      <w:lvlJc w:val="left"/>
      <w:lvlText w:val="%1"/>
      <w:numFmt w:val="decimal"/>
      <w:start w:val="1"/>
    </w:lvl>
    <w:lvl w:ilvl="1">
      <w:lvlJc w:val="left"/>
      <w:lvlText w:val="(%2)"/>
      <w:numFmt w:val="lowerLetter"/>
      <w:start w:val="5"/>
    </w:lvl>
  </w:abstractNum>
  <w:abstractNum w:abstractNumId="89">
    <w:nsid w:val="46263DEC"/>
    <w:multiLevelType w:val="hybridMultilevel"/>
    <w:lvl w:ilvl="0">
      <w:lvlJc w:val="left"/>
      <w:lvlText w:val="%1."/>
      <w:numFmt w:val="decimal"/>
      <w:start w:val="17"/>
    </w:lvl>
    <w:lvl w:ilvl="1">
      <w:lvlJc w:val="left"/>
      <w:lvlText w:val="(%2)"/>
      <w:numFmt w:val="lowerLetter"/>
      <w:start w:val="1"/>
    </w:lvl>
  </w:abstractNum>
  <w:abstractNum w:abstractNumId="90">
    <w:nsid w:val="260D8C4A"/>
    <w:multiLevelType w:val="hybridMultilevel"/>
    <w:lvl w:ilvl="0">
      <w:lvlJc w:val="left"/>
      <w:lvlText w:val="(%1)"/>
      <w:numFmt w:val="lowerLetter"/>
      <w:start w:val="2"/>
    </w:lvl>
  </w:abstractNum>
  <w:abstractNum w:abstractNumId="91">
    <w:nsid w:val="73D4D3C4"/>
    <w:multiLevelType w:val="hybridMultilevel"/>
    <w:lvl w:ilvl="0">
      <w:lvlJc w:val="left"/>
      <w:lvlText w:val="(%1)"/>
      <w:numFmt w:val="lowerLetter"/>
      <w:start w:val="4"/>
    </w:lvl>
  </w:abstractNum>
  <w:abstractNum w:abstractNumId="92">
    <w:nsid w:val="746F2E30"/>
    <w:multiLevelType w:val="hybridMultilevel"/>
    <w:lvl w:ilvl="0">
      <w:lvlJc w:val="left"/>
      <w:lvlText w:val="(%1)"/>
      <w:numFmt w:val="lowerLetter"/>
      <w:start w:val="7"/>
    </w:lvl>
  </w:abstractNum>
  <w:abstractNum w:abstractNumId="93">
    <w:nsid w:val="6FDE8AF6"/>
    <w:multiLevelType w:val="hybridMultilevel"/>
    <w:lvl w:ilvl="0">
      <w:lvlJc w:val="left"/>
      <w:lvlText w:val="(%1)"/>
      <w:numFmt w:val="lowerLetter"/>
      <w:start w:val="11"/>
    </w:lvl>
  </w:abstractNum>
  <w:abstractNum w:abstractNumId="94">
    <w:nsid w:val="3FC32E20"/>
    <w:multiLevelType w:val="hybridMultilevel"/>
    <w:lvl w:ilvl="0">
      <w:lvlJc w:val="left"/>
      <w:lvlText w:val="%1"/>
      <w:numFmt w:val="decimal"/>
      <w:start w:val="1"/>
    </w:lvl>
    <w:lvl w:ilvl="1">
      <w:lvlJc w:val="left"/>
      <w:lvlText w:val="(%2)"/>
      <w:numFmt w:val="lowerLetter"/>
      <w:start w:val="13"/>
    </w:lvl>
  </w:abstractNum>
  <w:abstractNum w:abstractNumId="95">
    <w:nsid w:val="49C0E823"/>
    <w:multiLevelType w:val="hybridMultilevel"/>
    <w:lvl w:ilvl="0">
      <w:lvlJc w:val="left"/>
      <w:lvlText w:val="%1."/>
      <w:numFmt w:val="decimal"/>
      <w:start w:val="19"/>
    </w:lvl>
    <w:lvl w:ilvl="1">
      <w:lvlJc w:val="left"/>
      <w:lvlText w:val="%2"/>
      <w:numFmt w:val="lowerLetter"/>
      <w:start w:val="1"/>
    </w:lvl>
  </w:abstractNum>
  <w:abstractNum w:abstractNumId="96">
    <w:nsid w:val="14D53685"/>
    <w:multiLevelType w:val="hybridMultilevel"/>
    <w:lvl w:ilvl="0">
      <w:lvlJc w:val="left"/>
      <w:lvlText w:val="%1"/>
      <w:numFmt w:val="decimal"/>
      <w:start w:val="13"/>
    </w:lvl>
  </w:abstractNum>
  <w:abstractNum w:abstractNumId="97">
    <w:nsid w:val="230F856C"/>
    <w:multiLevelType w:val="hybridMultilevel"/>
    <w:lvl w:ilvl="0">
      <w:lvlJc w:val="left"/>
      <w:lvlText w:val="%1"/>
      <w:numFmt w:val="lowerRoman"/>
      <w:start w:val="1"/>
    </w:lvl>
    <w:lvl w:ilvl="1">
      <w:lvlJc w:val="left"/>
      <w:lvlText w:val="%2."/>
      <w:numFmt w:val="decimal"/>
      <w:start w:val="24"/>
    </w:lvl>
  </w:abstractNum>
  <w:abstractNum w:abstractNumId="98">
    <w:nsid w:val="6EAA85FB"/>
    <w:multiLevelType w:val="hybridMultilevel"/>
    <w:lvl w:ilvl="0">
      <w:lvlJc w:val="left"/>
      <w:lvlText w:val="(%1)"/>
      <w:numFmt w:val="lowerRoman"/>
      <w:start w:val="2"/>
    </w:lvl>
    <w:lvl w:ilvl="1">
      <w:lvlJc w:val="left"/>
      <w:lvlText w:val="%2."/>
      <w:numFmt w:val="decimal"/>
      <w:start w:val="25"/>
    </w:lvl>
  </w:abstractNum>
  <w:abstractNum w:abstractNumId="99">
    <w:nsid w:val="3F06ECB2"/>
    <w:multiLevelType w:val="hybridMultilevel"/>
    <w:lvl w:ilvl="0">
      <w:lvlJc w:val="left"/>
      <w:lvlText w:val="%1."/>
      <w:numFmt w:val="decimal"/>
      <w:start w:val="26"/>
    </w:lvl>
  </w:abstractNum>
  <w:abstractNum w:abstractNumId="100">
    <w:nsid w:val="3B594807"/>
    <w:multiLevelType w:val="hybridMultilevel"/>
    <w:lvl w:ilvl="0">
      <w:lvlJc w:val="left"/>
      <w:lvlText w:val="%1"/>
      <w:numFmt w:val="decimal"/>
      <w:start w:val="14"/>
    </w:lvl>
  </w:abstractNum>
  <w:abstractNum w:abstractNumId="101">
    <w:nsid w:val="6CAA2304"/>
    <w:multiLevelType w:val="hybridMultilevel"/>
    <w:lvl w:ilvl="0">
      <w:lvlJc w:val="left"/>
      <w:lvlText w:val="(%1)"/>
      <w:numFmt w:val="upperLetter"/>
      <w:start w:val="35"/>
    </w:lvl>
  </w:abstractNum>
  <w:abstractNum w:abstractNumId="102">
    <w:nsid w:val="3F7C2FF4"/>
    <w:multiLevelType w:val="hybridMultilevel"/>
    <w:lvl w:ilvl="0">
      <w:lvlJc w:val="left"/>
      <w:lvlText w:val="(%1)"/>
      <w:numFmt w:val="upperLetter"/>
      <w:start w:val="61"/>
    </w:lvl>
  </w:abstractNum>
  <w:abstractNum w:abstractNumId="103">
    <w:nsid w:val="25413BEC"/>
    <w:multiLevelType w:val="hybridMultilevel"/>
    <w:lvl w:ilvl="0">
      <w:lvlJc w:val="left"/>
      <w:lvlText w:val="%1."/>
      <w:numFmt w:val="decimal"/>
      <w:start w:val="28"/>
    </w:lvl>
  </w:abstractNum>
  <w:abstractNum w:abstractNumId="104">
    <w:nsid w:val="17180B0B"/>
    <w:multiLevelType w:val="hybridMultilevel"/>
    <w:lvl w:ilvl="0">
      <w:lvlJc w:val="left"/>
      <w:lvlText w:val="%1"/>
      <w:numFmt w:val="decimal"/>
      <w:start w:val="16"/>
    </w:lvl>
  </w:abstractNum>
  <w:abstractNum w:abstractNumId="105">
    <w:nsid w:val="579328B9"/>
    <w:multiLevelType w:val="hybridMultilevel"/>
    <w:lvl w:ilvl="0">
      <w:lvlJc w:val="left"/>
      <w:lvlText w:val="%1."/>
      <w:numFmt w:val="decimal"/>
      <w:start w:val="30"/>
    </w:lvl>
    <w:lvl w:ilvl="1">
      <w:lvlJc w:val="left"/>
      <w:lvlText w:val="(%2)"/>
      <w:numFmt w:val="lowerLetter"/>
      <w:start w:val="1"/>
    </w:lvl>
  </w:abstractNum>
  <w:abstractNum w:abstractNumId="106">
    <w:nsid w:val="5D205E20"/>
    <w:multiLevelType w:val="hybridMultilevel"/>
    <w:lvl w:ilvl="0">
      <w:lvlJc w:val="left"/>
      <w:lvlText w:val="(%1)"/>
      <w:numFmt w:val="lowerLetter"/>
      <w:start w:val="4"/>
    </w:lvl>
  </w:abstractNum>
  <w:abstractNum w:abstractNumId="107">
    <w:nsid w:val="11CCA8BA"/>
    <w:multiLevelType w:val="hybridMultilevel"/>
    <w:lvl w:ilvl="0">
      <w:lvlJc w:val="left"/>
      <w:lvlText w:val="%1"/>
      <w:numFmt w:val="decimal"/>
      <w:start w:val="18"/>
    </w:lvl>
  </w:abstractNum>
  <w:abstractNum w:abstractNumId="108">
    <w:nsid w:val="4D32AB86"/>
    <w:multiLevelType w:val="hybridMultilevel"/>
    <w:lvl w:ilvl="0">
      <w:lvlJc w:val="left"/>
      <w:lvlText w:val="(%1)"/>
      <w:numFmt w:val="decimal"/>
      <w:start w:val="2"/>
    </w:lvl>
  </w:abstractNum>
  <w:abstractNum w:abstractNumId="109">
    <w:nsid w:val="3F07ACC3"/>
    <w:multiLevelType w:val="hybridMultilevel"/>
    <w:lvl w:ilvl="0">
      <w:lvlJc w:val="left"/>
      <w:lvlText w:val="(%1)"/>
      <w:numFmt w:val="lowerLetter"/>
      <w:start w:val="4"/>
    </w:lvl>
  </w:abstractNum>
  <w:abstractNum w:abstractNumId="110">
    <w:nsid w:val="6B47F63E"/>
    <w:multiLevelType w:val="hybridMultilevel"/>
    <w:lvl w:ilvl="0">
      <w:lvlJc w:val="left"/>
      <w:lvlText w:val="(%1)"/>
      <w:numFmt w:val="lowerRoman"/>
      <w:start w:val="2"/>
    </w:lvl>
  </w:abstractNum>
  <w:abstractNum w:abstractNumId="111">
    <w:nsid w:val="5CB44A05"/>
    <w:multiLevelType w:val="hybridMultilevel"/>
    <w:lvl w:ilvl="0">
      <w:lvlJc w:val="left"/>
      <w:lvlText w:val="(%1)"/>
      <w:numFmt w:val="lowerLetter"/>
      <w:start w:val="1"/>
    </w:lvl>
  </w:abstractNum>
  <w:abstractNum w:abstractNumId="112">
    <w:nsid w:val="16CF80F1"/>
    <w:multiLevelType w:val="hybridMultilevel"/>
    <w:lvl w:ilvl="0">
      <w:lvlJc w:val="left"/>
      <w:lvlText w:val="(%1)"/>
      <w:numFmt w:val="lowerLetter"/>
      <w:start w:val="5"/>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3"/>
    </w:lvl>
  </w:abstractNum>
  <w:abstractNum w:abstractNumId="115">
    <w:nsid w:val="F856867"/>
    <w:multiLevelType w:val="hybridMultilevel"/>
    <w:lvl w:ilvl="0">
      <w:lvlJc w:val="left"/>
      <w:lvlText w:val="(%1)"/>
      <w:numFmt w:val="lowerLetter"/>
      <w:start w:val="4"/>
    </w:lvl>
  </w:abstractNum>
  <w:abstractNum w:abstractNumId="116">
    <w:nsid w:val="11B1CC33"/>
    <w:multiLevelType w:val="hybridMultilevel"/>
    <w:lvl w:ilvl="0">
      <w:lvlJc w:val="left"/>
      <w:lvlText w:val="(%1)"/>
      <w:numFmt w:val="lowerLetter"/>
      <w:start w:val="6"/>
    </w:lvl>
    <w:lvl w:ilvl="1">
      <w:lvlJc w:val="left"/>
      <w:lvlText w:val="(%2)"/>
      <w:numFmt w:val="lowerLetter"/>
      <w:start w:val="9"/>
    </w:lvl>
  </w:abstractNum>
  <w:abstractNum w:abstractNumId="117">
    <w:nsid w:val="2E22FBB7"/>
    <w:multiLevelType w:val="hybridMultilevel"/>
    <w:lvl w:ilvl="0">
      <w:lvlJc w:val="left"/>
      <w:lvlText w:val="%1"/>
      <w:numFmt w:val="lowerLetter"/>
      <w:start w:val="1"/>
    </w:lvl>
    <w:lvl w:ilvl="1">
      <w:lvlJc w:val="left"/>
      <w:lvlText w:val="(%2)"/>
      <w:numFmt w:val="lowerLetter"/>
      <w:start w:val="35"/>
    </w:lvl>
  </w:abstractNum>
  <w:abstractNum w:abstractNumId="118">
    <w:nsid w:val="29934699"/>
    <w:multiLevelType w:val="hybridMultilevel"/>
    <w:lvl w:ilvl="0">
      <w:lvlJc w:val="left"/>
      <w:lvlText w:val="(%1)"/>
      <w:numFmt w:val="lowerLetter"/>
      <w:start w:val="7"/>
    </w:lvl>
    <w:lvl w:ilvl="1">
      <w:lvlJc w:val="left"/>
      <w:lvlText w:val="(%2)"/>
      <w:numFmt w:val="lowerLetter"/>
      <w:start w:val="9"/>
    </w:lvl>
  </w:abstractNum>
  <w:abstractNum w:abstractNumId="119">
    <w:nsid w:val="77485850"/>
    <w:multiLevelType w:val="hybridMultilevel"/>
    <w:lvl w:ilvl="0">
      <w:lvlJc w:val="left"/>
      <w:lvlText w:val="(%1)"/>
      <w:numFmt w:val="lowerRoman"/>
      <w:start w:val="2"/>
    </w:lvl>
  </w:abstractNum>
  <w:abstractNum w:abstractNumId="120">
    <w:nsid w:val="744939A3"/>
    <w:multiLevelType w:val="hybridMultilevel"/>
    <w:lvl w:ilvl="0">
      <w:lvlJc w:val="left"/>
      <w:lvlText w:val="(%1)"/>
      <w:numFmt w:val="lowerRoman"/>
      <w:start w:val="3"/>
    </w:lvl>
    <w:lvl w:ilvl="1">
      <w:lvlJc w:val="left"/>
      <w:lvlText w:val="(%2)"/>
      <w:numFmt w:val="upperLetter"/>
      <w:start w:val="1"/>
    </w:lvl>
  </w:abstractNum>
  <w:abstractNum w:abstractNumId="121">
    <w:nsid w:val="4FA0D2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2">
    <w:nsid w:val="6B1D2C14"/>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23">
    <w:nsid w:val="68B867D3"/>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24">
    <w:nsid w:val="3F7F5DD9"/>
    <w:multiLevelType w:val="hybridMultilevel"/>
    <w:lvl w:ilvl="0">
      <w:lvlJc w:val="left"/>
      <w:lvlText w:val="(%1)"/>
      <w:numFmt w:val="lowerLetter"/>
      <w:start w:val="12"/>
    </w:lvl>
    <w:lvl w:ilvl="1">
      <w:lvlJc w:val="left"/>
      <w:lvlText w:val="(%2)"/>
      <w:numFmt w:val="lowerRoman"/>
      <w:start w:val="1"/>
    </w:lvl>
  </w:abstractNum>
  <w:abstractNum w:abstractNumId="125">
    <w:nsid w:val="2AE05A34"/>
    <w:multiLevelType w:val="hybridMultilevel"/>
    <w:lvl w:ilvl="0">
      <w:lvlJc w:val="left"/>
      <w:lvlText w:val="(%1)"/>
      <w:numFmt w:val="lowerLetter"/>
      <w:start w:val="14"/>
    </w:lvl>
    <w:lvl w:ilvl="1">
      <w:lvlJc w:val="left"/>
      <w:lvlText w:val="(%2)"/>
      <w:numFmt w:val="lowerRoman"/>
      <w:start w:val="1"/>
    </w:lvl>
  </w:abstractNum>
  <w:abstractNum w:abstractNumId="126">
    <w:nsid w:val="32794FF7"/>
    <w:multiLevelType w:val="hybridMultilevel"/>
    <w:lvl w:ilvl="0">
      <w:lvlJc w:val="left"/>
      <w:lvlText w:val="(%1)"/>
      <w:numFmt w:val="lowerLetter"/>
      <w:start w:val="15"/>
    </w:lvl>
  </w:abstractNum>
  <w:abstractNum w:abstractNumId="127">
    <w:nsid w:val="5454945E"/>
    <w:multiLevelType w:val="hybridMultilevel"/>
    <w:lvl w:ilvl="0">
      <w:lvlJc w:val="left"/>
      <w:lvlText w:val="(%1)"/>
      <w:numFmt w:val="lowerLetter"/>
      <w:start w:val="1"/>
    </w:lvl>
  </w:abstractNum>
  <w:abstractNum w:abstractNumId="128">
    <w:nsid w:val="4DEFDFA0"/>
    <w:multiLevelType w:val="hybridMultilevel"/>
    <w:lvl w:ilvl="0">
      <w:lvlJc w:val="left"/>
      <w:lvlText w:val="(%1)"/>
      <w:numFmt w:val="lowerLetter"/>
      <w:start w:val="5"/>
    </w:lvl>
  </w:abstractNum>
  <w:abstractNum w:abstractNumId="129">
    <w:nsid w:val="2123D5F2"/>
    <w:multiLevelType w:val="hybridMultilevel"/>
    <w:lvl w:ilvl="0">
      <w:lvlJc w:val="left"/>
      <w:lvlText w:val="(%1)"/>
      <w:numFmt w:val="lowerLetter"/>
      <w:start w:val="12"/>
    </w:lvl>
  </w:abstractNum>
  <w:abstractNum w:abstractNumId="130">
    <w:nsid w:val="135B8110"/>
    <w:multiLevelType w:val="hybridMultilevel"/>
    <w:lvl w:ilvl="0">
      <w:lvlJc w:val="left"/>
      <w:lvlText w:val="(%1)"/>
      <w:numFmt w:val="lowerLetter"/>
      <w:start w:val="1"/>
    </w:lvl>
    <w:lvl w:ilvl="1">
      <w:lvlJc w:val="left"/>
      <w:lvlText w:val="(%2)"/>
      <w:numFmt w:val="lowerRoman"/>
      <w:start w:val="1"/>
    </w:lvl>
  </w:abstractNum>
  <w:abstractNum w:abstractNumId="131">
    <w:nsid w:val="94927A8"/>
    <w:multiLevelType w:val="hybridMultilevel"/>
    <w:lvl w:ilvl="0">
      <w:lvlJc w:val="left"/>
      <w:lvlText w:val="(%1)"/>
      <w:numFmt w:val="lowerRoman"/>
      <w:start w:val="8"/>
    </w:lvl>
  </w:abstractNum>
  <w:abstractNum w:abstractNumId="132">
    <w:nsid w:val="DCDF8F6"/>
    <w:multiLevelType w:val="hybridMultilevel"/>
    <w:lvl w:ilvl="0">
      <w:lvlJc w:val="left"/>
      <w:lvlText w:val="%1"/>
      <w:numFmt w:val="lowerLetter"/>
      <w:start w:val="1"/>
    </w:lvl>
    <w:lvl w:ilvl="1">
      <w:lvlJc w:val="left"/>
      <w:lvlText w:val="(%2)"/>
      <w:numFmt w:val="lowerRoman"/>
      <w:start w:val="14"/>
    </w:lvl>
  </w:abstractNum>
  <w:abstractNum w:abstractNumId="133">
    <w:nsid w:val="52D7B105"/>
    <w:multiLevelType w:val="hybridMultilevel"/>
    <w:lvl w:ilvl="0">
      <w:lvlJc w:val="left"/>
      <w:lvlText w:val="(%1)"/>
      <w:numFmt w:val="lowerLetter"/>
      <w:start w:val="2"/>
    </w:lvl>
    <w:lvl w:ilvl="1">
      <w:lvlJc w:val="left"/>
      <w:lvlText w:val="(%2)"/>
      <w:numFmt w:val="lowerRoman"/>
      <w:start w:val="1"/>
    </w:lvl>
  </w:abstractNum>
  <w:abstractNum w:abstractNumId="134">
    <w:nsid w:val="2E8A6394"/>
    <w:multiLevelType w:val="hybridMultilevel"/>
    <w:lvl w:ilvl="0">
      <w:lvlJc w:val="left"/>
      <w:lvlText w:val="(%1)"/>
      <w:numFmt w:val="lowerRoman"/>
      <w:start w:val="3"/>
    </w:lvl>
  </w:abstractNum>
  <w:abstractNum w:abstractNumId="135">
    <w:nsid w:val="24E60401"/>
    <w:multiLevelType w:val="hybridMultilevel"/>
    <w:lvl w:ilvl="0">
      <w:lvlJc w:val="left"/>
      <w:lvlText w:val="(%1)"/>
      <w:numFmt w:val="lowerLetter"/>
      <w:start w:val="3"/>
    </w:lvl>
    <w:lvl w:ilvl="1">
      <w:lvlJc w:val="left"/>
      <w:lvlText w:val="(%2)"/>
      <w:numFmt w:val="lowerRoman"/>
      <w:start w:val="1"/>
    </w:lvl>
  </w:abstractNum>
  <w:abstractNum w:abstractNumId="136">
    <w:nsid w:val="2A6AD9BE"/>
    <w:multiLevelType w:val="hybridMultilevel"/>
    <w:lvl w:ilvl="0">
      <w:lvlJc w:val="left"/>
      <w:lvlText w:val="(%1)"/>
      <w:numFmt w:val="lowerRoman"/>
      <w:start w:val="11"/>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lowerLetter"/>
      <w:start w:val="2"/>
    </w:lvl>
  </w:abstractNum>
  <w:abstractNum w:abstractNumId="139">
    <w:nsid w:val="779D8544"/>
    <w:multiLevelType w:val="hybridMultilevel"/>
    <w:lvl w:ilvl="0">
      <w:lvlJc w:val="left"/>
      <w:lvlText w:val="(%1)"/>
      <w:numFmt w:val="lowerLetter"/>
      <w:start w:val="3"/>
    </w:lvl>
    <w:lvl w:ilvl="1">
      <w:lvlJc w:val="left"/>
      <w:lvlText w:val="(%2)"/>
      <w:numFmt w:val="lowerRoman"/>
      <w:start w:val="1"/>
    </w:lvl>
  </w:abstractNum>
  <w:abstractNum w:abstractNumId="140">
    <w:nsid w:val="4AB26E78"/>
    <w:multiLevelType w:val="hybridMultilevel"/>
    <w:lvl w:ilvl="0">
      <w:lvlJc w:val="left"/>
      <w:lvlText w:val="(%1)"/>
      <w:numFmt w:val="lowerRoman"/>
      <w:start w:val="9"/>
    </w:lvl>
  </w:abstractNum>
  <w:abstractNum w:abstractNumId="141">
    <w:nsid w:val="21FAA2FA"/>
    <w:multiLevelType w:val="hybridMultilevel"/>
    <w:lvl w:ilvl="0">
      <w:lvlJc w:val="left"/>
      <w:lvlText w:val="%1"/>
      <w:numFmt w:val="upperLetter"/>
      <w:start w:val="1"/>
    </w:lvl>
    <w:lvl w:ilvl="1">
      <w:lvlJc w:val="left"/>
      <w:lvlText w:val="(%2)"/>
      <w:numFmt w:val="lowerRoman"/>
      <w:start w:val="13"/>
    </w:lvl>
  </w:abstractNum>
  <w:abstractNum w:abstractNumId="142">
    <w:nsid w:val="5451CF49"/>
    <w:multiLevelType w:val="hybridMultilevel"/>
    <w:lvl w:ilvl="0">
      <w:lvlJc w:val="left"/>
      <w:lvlText w:val="(%1)"/>
      <w:numFmt w:val="upperLetter"/>
      <w:start w:val="1"/>
    </w:lvl>
    <w:lvl w:ilvl="1">
      <w:lvlJc w:val="left"/>
      <w:lvlText w:val="(%2)"/>
      <w:numFmt w:val="lowerRoman"/>
      <w:start w:val="15"/>
    </w:lvl>
  </w:abstractNum>
  <w:abstractNum w:abstractNumId="143">
    <w:nsid w:val="6181EF69"/>
    <w:multiLevelType w:val="hybridMultilevel"/>
    <w:lvl w:ilvl="0">
      <w:lvlJc w:val="left"/>
      <w:lvlText w:val="(%1)"/>
      <w:numFmt w:val="upperLetter"/>
      <w:start w:val="3"/>
    </w:lvl>
    <w:lvl w:ilvl="1">
      <w:lvlJc w:val="left"/>
      <w:lvlText w:val="(%2)"/>
      <w:numFmt w:val="lowerRoman"/>
      <w:start w:val="16"/>
    </w:lvl>
  </w:abstractNum>
  <w:abstractNum w:abstractNumId="144">
    <w:nsid w:val="3E6400E6"/>
    <w:multiLevelType w:val="hybridMultilevel"/>
    <w:lvl w:ilvl="0">
      <w:lvlJc w:val="left"/>
      <w:lvlText w:val="(%1)"/>
      <w:numFmt w:val="lowerLetter"/>
      <w:start w:val="4"/>
    </w:lvl>
    <w:lvl w:ilvl="1">
      <w:lvlJc w:val="left"/>
      <w:lvlText w:val="(%2)"/>
      <w:numFmt w:val="lowerRoman"/>
      <w:start w:val="1"/>
    </w:lvl>
  </w:abstractNum>
  <w:abstractNum w:abstractNumId="145">
    <w:nsid w:val="14217E23"/>
    <w:multiLevelType w:val="hybridMultilevel"/>
    <w:lvl w:ilvl="0">
      <w:lvlJc w:val="left"/>
      <w:lvlText w:val="(%1)"/>
      <w:numFmt w:val="lowerRoman"/>
      <w:start w:val="8"/>
    </w:lvl>
  </w:abstractNum>
  <w:abstractNum w:abstractNumId="146">
    <w:nsid w:val="710757D0"/>
    <w:multiLevelType w:val="hybridMultilevel"/>
    <w:lvl w:ilvl="0">
      <w:lvlJc w:val="left"/>
      <w:lvlText w:val="(%1)"/>
      <w:numFmt w:val="lowerRoman"/>
      <w:start w:val="14"/>
    </w:lvl>
  </w:abstractNum>
  <w:abstractNum w:abstractNumId="147">
    <w:nsid w:val="5015CD1A"/>
    <w:multiLevelType w:val="hybridMultilevel"/>
    <w:lvl w:ilvl="0">
      <w:lvlJc w:val="left"/>
      <w:lvlText w:val="(%1)"/>
      <w:numFmt w:val="lowerLetter"/>
      <w:start w:val="5"/>
    </w:lvl>
    <w:lvl w:ilvl="1">
      <w:lvlJc w:val="left"/>
      <w:lvlText w:val="(%2)"/>
      <w:numFmt w:val="lowerRoman"/>
      <w:start w:val="1"/>
    </w:lvl>
  </w:abstractNum>
  <w:abstractNum w:abstractNumId="148">
    <w:nsid w:val="424479DA"/>
    <w:multiLevelType w:val="hybridMultilevel"/>
    <w:lvl w:ilvl="0">
      <w:lvlJc w:val="left"/>
      <w:lvlText w:val="%1"/>
      <w:numFmt w:val="lowerLetter"/>
      <w:start w:val="1"/>
    </w:lvl>
    <w:lvl w:ilvl="1">
      <w:lvlJc w:val="left"/>
      <w:lvlText w:val="(%2)"/>
      <w:numFmt w:val="lowerRoman"/>
      <w:start w:val="6"/>
    </w:lvl>
  </w:abstractNum>
  <w:abstractNum w:abstractNumId="149">
    <w:nsid w:val="1A9A9E69"/>
    <w:multiLevelType w:val="hybridMultilevel"/>
    <w:lvl w:ilvl="0">
      <w:lvlJc w:val="left"/>
      <w:lvlText w:val="(%1)"/>
      <w:numFmt w:val="lowerLetter"/>
      <w:start w:val="7"/>
    </w:lvl>
    <w:lvl w:ilvl="1">
      <w:lvlJc w:val="left"/>
      <w:lvlText w:val="(%2)"/>
      <w:numFmt w:val="lowerRoman"/>
      <w:start w:val="1"/>
    </w:lvl>
  </w:abstractNum>
  <w:abstractNum w:abstractNumId="150">
    <w:nsid w:val="475E256A"/>
    <w:multiLevelType w:val="hybridMultilevel"/>
    <w:lvl w:ilvl="0">
      <w:lvlJc w:val="left"/>
      <w:lvlText w:val="%1"/>
      <w:numFmt w:val="lowerLetter"/>
      <w:start w:val="1"/>
    </w:lvl>
    <w:lvl w:ilvl="1">
      <w:lvlJc w:val="left"/>
      <w:lvlText w:val="(%2)"/>
      <w:numFmt w:val="lowerRoman"/>
      <w:start w:val="5"/>
    </w:lvl>
  </w:abstractNum>
  <w:abstractNum w:abstractNumId="151">
    <w:nsid w:val="368DB37E"/>
    <w:multiLevelType w:val="hybridMultilevel"/>
    <w:lvl w:ilvl="0">
      <w:lvlJc w:val="left"/>
      <w:lvlText w:val="(%1)"/>
      <w:numFmt w:val="lowerLetter"/>
      <w:start w:val="26"/>
    </w:lvl>
    <w:lvl w:ilvl="1">
      <w:lvlJc w:val="left"/>
      <w:lvlText w:val="(%2)"/>
      <w:numFmt w:val="lowerRoman"/>
      <w:start w:val="7"/>
    </w:lvl>
  </w:abstractNum>
  <w:abstractNum w:abstractNumId="152">
    <w:nsid w:val="6A3B714C"/>
    <w:multiLevelType w:val="hybridMultilevel"/>
    <w:lvl w:ilvl="0">
      <w:lvlJc w:val="left"/>
      <w:lvlText w:val="(%1)"/>
      <w:numFmt w:val="lowerRoman"/>
      <w:start w:val="1"/>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8"/>
    </w:lvl>
  </w:abstractNum>
  <w:abstractNum w:abstractNumId="155">
    <w:nsid w:val="29BACF25"/>
    <w:multiLevelType w:val="hybridMultilevel"/>
    <w:lvl w:ilvl="0">
      <w:lvlJc w:val="left"/>
      <w:lvlText w:val="(%1)"/>
      <w:numFmt w:val="lowerLetter"/>
      <w:start w:val="18"/>
    </w:lvl>
  </w:abstractNum>
  <w:abstractNum w:abstractNumId="156">
    <w:nsid w:val="5D5BABB3"/>
    <w:multiLevelType w:val="hybridMultilevel"/>
    <w:lvl w:ilvl="0">
      <w:lvlJc w:val="left"/>
      <w:lvlText w:val="(%1)"/>
      <w:numFmt w:val="lowerLetter"/>
      <w:start w:val="26"/>
    </w:lvl>
  </w:abstractNum>
  <w:abstractNum w:abstractNumId="157">
    <w:nsid w:val="51BF6B48"/>
    <w:multiLevelType w:val="hybridMultilevel"/>
    <w:lvl w:ilvl="0">
      <w:lvlJc w:val="left"/>
      <w:lvlText w:val="(%1)"/>
      <w:numFmt w:val="lowerLetter"/>
      <w:start w:val="27"/>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2"/>
    </w:lvl>
    <w:lvl w:ilvl="1">
      <w:lvlJc w:val="left"/>
      <w:lvlText w:val="(%2)"/>
      <w:numFmt w:val="lowerRoman"/>
      <w:start w:val="1"/>
    </w:lvl>
  </w:abstractNum>
  <w:abstractNum w:abstractNumId="160">
    <w:nsid w:val="72E3413A"/>
    <w:multiLevelType w:val="hybridMultilevel"/>
    <w:lvl w:ilvl="0">
      <w:lvlJc w:val="left"/>
      <w:lvlText w:val="(%1)"/>
      <w:numFmt w:val="lowerLetter"/>
      <w:start w:val="1"/>
    </w:lvl>
  </w:abstractNum>
  <w:abstractNum w:abstractNumId="161">
    <w:nsid w:val="116AE494"/>
    <w:multiLevelType w:val="hybridMultilevel"/>
    <w:lvl w:ilvl="0">
      <w:lvlJc w:val="left"/>
      <w:lvlText w:val="(%1)"/>
      <w:numFmt w:val="lowerLetter"/>
      <w:start w:val="2"/>
    </w:lvl>
    <w:lvl w:ilvl="1">
      <w:lvlJc w:val="left"/>
      <w:lvlText w:val="(%2)"/>
      <w:numFmt w:val="lowerRoman"/>
      <w:start w:val="3"/>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2"/>
    </w:lvl>
    <w:lvl w:ilvl="1">
      <w:lvlJc w:val="left"/>
      <w:lvlText w:val="(%2)"/>
      <w:numFmt w:val="lowerLetter"/>
      <w:start w:val="9"/>
    </w:lvl>
  </w:abstractNum>
  <w:abstractNum w:abstractNumId="165">
    <w:nsid w:val="631F1690"/>
    <w:multiLevelType w:val="hybridMultilevel"/>
    <w:lvl w:ilvl="0">
      <w:lvlJc w:val="left"/>
      <w:lvlText w:val="%1"/>
      <w:numFmt w:val="upperLetter"/>
      <w:start w:val="1"/>
    </w:lvl>
    <w:lvl w:ilvl="1">
      <w:lvlJc w:val="left"/>
      <w:lvlText w:val="(%2)"/>
      <w:numFmt w:val="lowerRoman"/>
      <w:start w:val="2"/>
    </w:lvl>
  </w:abstractNum>
  <w:abstractNum w:abstractNumId="166">
    <w:nsid w:val="25973E32"/>
    <w:multiLevelType w:val="hybridMultilevel"/>
    <w:lvl w:ilvl="0">
      <w:lvlJc w:val="left"/>
      <w:lvlText w:val="(%1)"/>
      <w:numFmt w:val="upperLetter"/>
      <w:start w:val="2"/>
    </w:lvl>
    <w:lvl w:ilvl="1">
      <w:lvlJc w:val="left"/>
      <w:lvlText w:val="%2"/>
      <w:numFmt w:val="lowerRoman"/>
      <w:start w:val="1"/>
    </w:lvl>
  </w:abstractNum>
  <w:abstractNum w:abstractNumId="167">
    <w:nsid w:val="EAD6F57"/>
    <w:multiLevelType w:val="hybridMultilevel"/>
    <w:lvl w:ilvl="0">
      <w:lvlJc w:val="left"/>
      <w:lvlText w:val="(%1)"/>
      <w:numFmt w:val="lowerRoman"/>
      <w:start w:val="3"/>
    </w:lvl>
  </w:abstractNum>
  <w:abstractNum w:abstractNumId="168">
    <w:nsid w:val="6EC9D844"/>
    <w:multiLevelType w:val="hybridMultilevel"/>
    <w:lvl w:ilvl="0">
      <w:lvlJc w:val="left"/>
      <w:lvlText w:val="%1"/>
      <w:numFmt w:val="lowerLetter"/>
      <w:start w:val="1"/>
    </w:lvl>
    <w:lvl w:ilvl="1">
      <w:lvlJc w:val="left"/>
      <w:lvlText w:val="(%2)"/>
      <w:numFmt w:val="lowerRoman"/>
      <w:start w:val="7"/>
    </w:lvl>
  </w:abstractNum>
  <w:abstractNum w:abstractNumId="169">
    <w:nsid w:val="5C49EAEE"/>
    <w:multiLevelType w:val="hybridMultilevel"/>
    <w:lvl w:ilvl="0">
      <w:lvlJc w:val="left"/>
      <w:lvlText w:val="(%1)"/>
      <w:numFmt w:val="lowerLetter"/>
      <w:start w:val="4"/>
    </w:lvl>
    <w:lvl w:ilvl="1">
      <w:lvlJc w:val="left"/>
      <w:lvlText w:val="(%2)"/>
      <w:numFmt w:val="lowerRoman"/>
      <w:start w:val="1"/>
    </w:lvl>
  </w:abstractNum>
  <w:abstractNum w:abstractNumId="170">
    <w:nsid w:val="64AF49B"/>
    <w:multiLevelType w:val="hybridMultilevel"/>
    <w:lvl w:ilvl="0">
      <w:lvlJc w:val="left"/>
      <w:lvlText w:val="(%1)"/>
      <w:numFmt w:val="upperLetter"/>
      <w:start w:val="1"/>
    </w:lvl>
  </w:abstractNum>
  <w:abstractNum w:abstractNumId="171">
    <w:nsid w:val="397C46BC"/>
    <w:multiLevelType w:val="hybridMultilevel"/>
    <w:lvl w:ilvl="0">
      <w:lvlJc w:val="left"/>
      <w:lvlText w:val="(%1)"/>
      <w:numFmt w:val="upperLetter"/>
      <w:start w:val="2"/>
    </w:lvl>
  </w:abstractNum>
  <w:abstractNum w:abstractNumId="172">
    <w:nsid w:val="7E448DE9"/>
    <w:multiLevelType w:val="hybridMultilevel"/>
    <w:lvl w:ilvl="0">
      <w:lvlJc w:val="left"/>
      <w:lvlText w:val="%1"/>
      <w:numFmt w:val="lowerRoman"/>
      <w:start w:val="1"/>
    </w:lvl>
    <w:lvl w:ilvl="1">
      <w:lvlJc w:val="left"/>
      <w:lvlText w:val="(%2)"/>
      <w:numFmt w:val="upperLetter"/>
      <w:start w:val="5"/>
    </w:lvl>
  </w:abstractNum>
  <w:abstractNum w:abstractNumId="173">
    <w:nsid w:val="5A9CC3E5"/>
    <w:multiLevelType w:val="hybridMultilevel"/>
    <w:lvl w:ilvl="0">
      <w:lvlJc w:val="left"/>
      <w:lvlText w:val="(%1)"/>
      <w:numFmt w:val="lowerRoman"/>
      <w:start w:val="3"/>
    </w:lvl>
    <w:lvl w:ilvl="1">
      <w:lvlJc w:val="left"/>
      <w:lvlText w:val="%2"/>
      <w:numFmt w:val="upperLetter"/>
      <w:start w:val="1"/>
    </w:lvl>
  </w:abstractNum>
  <w:abstractNum w:abstractNumId="174">
    <w:nsid w:val="1AFE362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5">
    <w:nsid w:val="3CA88EC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6">
    <w:nsid w:val="6EBE4208"/>
    <w:multiLevelType w:val="hybridMultilevel"/>
    <w:lvl w:ilvl="0">
      <w:lvlJc w:val="left"/>
      <w:lvlText w:val="%1"/>
      <w:numFmt w:val="lowerRoman"/>
      <w:start w:val="1"/>
    </w:lvl>
    <w:lvl w:ilvl="1">
      <w:lvlJc w:val="left"/>
      <w:lvlText w:val="(%2)"/>
      <w:numFmt w:val="upperLetter"/>
      <w:start w:val="3"/>
    </w:lvl>
  </w:abstractNum>
  <w:abstractNum w:abstractNumId="177">
    <w:nsid w:val="C058DF5"/>
    <w:multiLevelType w:val="hybridMultilevel"/>
    <w:lvl w:ilvl="0">
      <w:lvlJc w:val="left"/>
      <w:lvlText w:val="(%1)"/>
      <w:numFmt w:val="lowerRoman"/>
      <w:start w:val="3"/>
    </w:lvl>
    <w:lvl w:ilvl="1">
      <w:lvlJc w:val="left"/>
      <w:lvlText w:val="%2"/>
      <w:numFmt w:val="upperLetter"/>
      <w:start w:val="1"/>
    </w:lvl>
  </w:abstractNum>
  <w:abstractNum w:abstractNumId="178">
    <w:nsid w:val="CBE5BE9"/>
    <w:multiLevelType w:val="hybridMultilevel"/>
    <w:lvl w:ilvl="0">
      <w:lvlJc w:val="left"/>
      <w:lvlText w:val="%1"/>
      <w:numFmt w:val="lowerLetter"/>
      <w:start w:val="1"/>
    </w:lvl>
    <w:lvl w:ilvl="1">
      <w:lvlJc w:val="left"/>
      <w:lvlText w:val="(%2)"/>
      <w:numFmt w:val="lowerRoman"/>
      <w:start w:val="4"/>
    </w:lvl>
  </w:abstractNum>
  <w:abstractNum w:abstractNumId="179">
    <w:nsid w:val="3102BBE2"/>
    <w:multiLevelType w:val="hybridMultilevel"/>
    <w:lvl w:ilvl="0">
      <w:lvlJc w:val="left"/>
      <w:lvlText w:val="(%1)"/>
      <w:numFmt w:val="lowerLetter"/>
      <w:start w:val="6"/>
    </w:lvl>
    <w:lvl w:ilvl="1">
      <w:lvlJc w:val="left"/>
      <w:lvlText w:val="%2"/>
      <w:numFmt w:val="lowerRoman"/>
      <w:start w:val="1"/>
    </w:lvl>
  </w:abstractNum>
  <w:abstractNum w:abstractNumId="180">
    <w:nsid w:val="26A02C5E"/>
    <w:multiLevelType w:val="hybridMultilevel"/>
    <w:lvl w:ilvl="0">
      <w:lvlJc w:val="left"/>
      <w:lvlText w:val="(%1)"/>
      <w:numFmt w:val="lowerLetter"/>
      <w:start w:val="9"/>
    </w:lvl>
  </w:abstractNum>
  <w:abstractNum w:abstractNumId="181">
    <w:nsid w:val="541C8153"/>
    <w:multiLevelType w:val="hybridMultilevel"/>
    <w:lvl w:ilvl="0">
      <w:lvlJc w:val="left"/>
      <w:lvlText w:val="(%1)"/>
      <w:numFmt w:val="lowerLetter"/>
      <w:start w:val="14"/>
    </w:lvl>
  </w:abstractNum>
  <w:abstractNum w:abstractNumId="182">
    <w:nsid w:val="67906F60"/>
    <w:multiLevelType w:val="hybridMultilevel"/>
    <w:lvl w:ilvl="0">
      <w:lvlJc w:val="left"/>
      <w:lvlText w:val="(%1)"/>
      <w:numFmt w:val="lowerRoman"/>
      <w:start w:val="1"/>
    </w:lvl>
  </w:abstractNum>
  <w:abstractNum w:abstractNumId="183">
    <w:nsid w:val="10DB9DAA"/>
    <w:multiLevelType w:val="hybridMultilevel"/>
    <w:lvl w:ilvl="0">
      <w:lvlJc w:val="left"/>
      <w:lvlText w:val="(%1)"/>
      <w:numFmt w:val="lowerRoman"/>
      <w:start w:val="2"/>
    </w:lvl>
  </w:abstractNum>
  <w:abstractNum w:abstractNumId="184">
    <w:nsid w:val="697D2D2"/>
    <w:multiLevelType w:val="hybridMultilevel"/>
    <w:lvl w:ilvl="0">
      <w:lvlJc w:val="left"/>
      <w:lvlText w:val="(%1)"/>
      <w:numFmt w:val="lowerRoman"/>
      <w:start w:val="3"/>
    </w:lvl>
  </w:abstractNum>
  <w:abstractNum w:abstractNumId="185">
    <w:nsid w:val="6D68AB2"/>
    <w:multiLevelType w:val="hybridMultilevel"/>
    <w:lvl w:ilvl="0">
      <w:lvlJc w:val="left"/>
      <w:lvlText w:val="(%1)"/>
      <w:numFmt w:val="lowerRoman"/>
      <w:start w:val="4"/>
    </w:lvl>
  </w:abstractNum>
  <w:abstractNum w:abstractNumId="186">
    <w:nsid w:val="3A966CD0"/>
    <w:multiLevelType w:val="hybridMultilevel"/>
    <w:lvl w:ilvl="0">
      <w:lvlJc w:val="left"/>
      <w:lvlText w:val="(%1)"/>
      <w:numFmt w:val="lowerLetter"/>
      <w:start w:val="1"/>
    </w:lvl>
  </w:abstractNum>
  <w:abstractNum w:abstractNumId="187">
    <w:nsid w:val="63F37E85"/>
    <w:multiLevelType w:val="hybridMultilevel"/>
    <w:lvl w:ilvl="0">
      <w:lvlJc w:val="left"/>
      <w:lvlText w:val="(%1)"/>
      <w:numFmt w:val="lowerLetter"/>
      <w:start w:val="4"/>
    </w:lvl>
  </w:abstractNum>
  <w:abstractNum w:abstractNumId="188">
    <w:nsid w:val="5895F5FA"/>
    <w:multiLevelType w:val="hybridMultilevel"/>
    <w:lvl w:ilvl="0">
      <w:lvlJc w:val="left"/>
      <w:lvlText w:val="(%1)"/>
      <w:numFmt w:val="lowerLetter"/>
      <w:start w:val="5"/>
    </w:lvl>
  </w:abstractNum>
  <w:abstractNum w:abstractNumId="189">
    <w:nsid w:val="38A5D054"/>
    <w:multiLevelType w:val="hybridMultilevel"/>
    <w:lvl w:ilvl="0">
      <w:lvlJc w:val="left"/>
      <w:lvlText w:val="(%1)"/>
      <w:numFmt w:val="lowerLetter"/>
      <w:start w:val="6"/>
    </w:lvl>
  </w:abstractNum>
  <w:abstractNum w:abstractNumId="190">
    <w:nsid w:val="F3F09D8"/>
    <w:multiLevelType w:val="hybridMultilevel"/>
    <w:lvl w:ilvl="0">
      <w:lvlJc w:val="left"/>
      <w:lvlText w:val="(%1)"/>
      <w:numFmt w:val="lowerLetter"/>
      <w:start w:val="8"/>
    </w:lvl>
  </w:abstractNum>
  <w:abstractNum w:abstractNumId="191">
    <w:nsid w:val="4B793735"/>
    <w:multiLevelType w:val="hybridMultilevel"/>
    <w:lvl w:ilvl="0">
      <w:lvlJc w:val="left"/>
      <w:lvlText w:val="(%1)"/>
      <w:numFmt w:val="lowerRoman"/>
      <w:start w:val="1"/>
    </w:lvl>
  </w:abstractNum>
  <w:abstractNum w:abstractNumId="192">
    <w:nsid w:val="4A10B4E8"/>
    <w:multiLevelType w:val="hybridMultilevel"/>
    <w:lvl w:ilvl="0">
      <w:lvlJc w:val="left"/>
      <w:lvlText w:val="(%1)"/>
      <w:numFmt w:val="lowerRoman"/>
      <w:start w:val="3"/>
    </w:lvl>
  </w:abstractNum>
  <w:abstractNum w:abstractNumId="193">
    <w:nsid w:val="43D3BCD4"/>
    <w:multiLevelType w:val="hybridMultilevel"/>
    <w:lvl w:ilvl="0">
      <w:lvlJc w:val="left"/>
      <w:lvlText w:val="(%1)"/>
      <w:numFmt w:val="lowerRoman"/>
      <w:start w:val="1"/>
    </w:lvl>
  </w:abstractNum>
  <w:abstractNum w:abstractNumId="194">
    <w:nsid w:val="4C2A7166"/>
    <w:multiLevelType w:val="hybridMultilevel"/>
    <w:lvl w:ilvl="0">
      <w:lvlJc w:val="left"/>
      <w:lvlText w:val="(%1)"/>
      <w:numFmt w:val="lowerLetter"/>
      <w:start w:val="10"/>
    </w:lvl>
    <w:lvl w:ilvl="1">
      <w:lvlJc w:val="left"/>
      <w:lvlText w:val="(%2)"/>
      <w:numFmt w:val="decimal"/>
    </w:lvl>
    <w:lvl w:ilvl="2">
      <w:lvlJc w:val="left"/>
      <w:lvlText w:val="(%3)"/>
      <w:numFmt w:val="lowerLetter"/>
      <w:start w:val="9"/>
    </w:lvl>
  </w:abstractNum>
  <w:abstractNum w:abstractNumId="195">
    <w:nsid w:val="2E534A8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96">
    <w:nsid w:val="26F2D364"/>
    <w:multiLevelType w:val="hybridMultilevel"/>
    <w:lvl w:ilvl="0">
      <w:lvlJc w:val="left"/>
      <w:lvlText w:val="(%1)"/>
      <w:numFmt w:val="lowerRoman"/>
      <w:start w:val="3"/>
    </w:lvl>
  </w:abstractNum>
  <w:abstractNum w:abstractNumId="197">
    <w:nsid w:val="71C1AF98"/>
    <w:multiLevelType w:val="hybridMultilevel"/>
    <w:lvl w:ilvl="0">
      <w:lvlJc w:val="left"/>
      <w:lvlText w:val="%1"/>
      <w:numFmt w:val="lowerLetter"/>
      <w:start w:val="1"/>
    </w:lvl>
    <w:lvl w:ilvl="1">
      <w:lvlJc w:val="left"/>
      <w:lvlText w:val="(%2)"/>
      <w:numFmt w:val="lowerRoman"/>
      <w:start w:val="6"/>
    </w:lvl>
  </w:abstractNum>
  <w:abstractNum w:abstractNumId="198">
    <w:nsid w:val="3D00B9D9"/>
    <w:multiLevelType w:val="hybridMultilevel"/>
    <w:lvl w:ilvl="0">
      <w:lvlJc w:val="left"/>
      <w:lvlText w:val="(%1)"/>
      <w:numFmt w:val="lowerLetter"/>
      <w:start w:val="11"/>
    </w:lvl>
    <w:lvl w:ilvl="1">
      <w:lvlJc w:val="left"/>
      <w:lvlText w:val="(%2)"/>
      <w:numFmt w:val="lowerRoman"/>
      <w:start w:val="1"/>
    </w:lvl>
  </w:abstractNum>
  <w:abstractNum w:abstractNumId="199">
    <w:nsid w:val="15BCABA8"/>
    <w:multiLevelType w:val="hybridMultilevel"/>
    <w:lvl w:ilvl="0">
      <w:lvlJc w:val="left"/>
      <w:lvlText w:val="(%1)"/>
      <w:numFmt w:val="lowerRoman"/>
      <w:start w:val="2"/>
    </w:lvl>
  </w:abstractNum>
  <w:abstractNum w:abstractNumId="200">
    <w:nsid w:val="4E0B9A87"/>
    <w:multiLevelType w:val="hybridMultilevel"/>
    <w:lvl w:ilvl="0">
      <w:lvlJc w:val="left"/>
      <w:lvlText w:val="%1"/>
      <w:numFmt w:val="lowerLetter"/>
      <w:start w:val="1"/>
    </w:lvl>
    <w:lvl w:ilvl="1">
      <w:lvlJc w:val="left"/>
      <w:lvlText w:val="(%2)"/>
      <w:numFmt w:val="lowerRoman"/>
      <w:start w:val="6"/>
    </w:lvl>
  </w:abstractNum>
  <w:abstractNum w:abstractNumId="201">
    <w:nsid w:val="434BAE75"/>
    <w:multiLevelType w:val="hybridMultilevel"/>
    <w:lvl w:ilvl="0">
      <w:lvlJc w:val="left"/>
      <w:lvlText w:val="(%1)"/>
      <w:numFmt w:val="lowerLetter"/>
      <w:start w:val="12"/>
    </w:lvl>
    <w:lvl w:ilvl="1">
      <w:lvlJc w:val="left"/>
      <w:lvlText w:val="%2"/>
      <w:numFmt w:val="lowerRoman"/>
      <w:start w:val="1"/>
    </w:lvl>
  </w:abstractNum>
  <w:abstractNum w:abstractNumId="202">
    <w:nsid w:val="4F38F265"/>
    <w:multiLevelType w:val="hybridMultilevel"/>
    <w:lvl w:ilvl="0">
      <w:lvlJc w:val="left"/>
      <w:lvlText w:val="(%1)"/>
      <w:numFmt w:val="lowerLetter"/>
      <w:start w:val="1"/>
    </w:lvl>
  </w:abstractNum>
  <w:abstractNum w:abstractNumId="203">
    <w:nsid w:val="4C502870"/>
    <w:multiLevelType w:val="hybridMultilevel"/>
    <w:lvl w:ilvl="0">
      <w:lvlJc w:val="left"/>
      <w:lvlText w:val="(%1)"/>
      <w:numFmt w:val="lowerLetter"/>
      <w:start w:val="3"/>
    </w:lvl>
    <w:lvl w:ilvl="1">
      <w:lvlJc w:val="left"/>
      <w:lvlText w:val="(%2)"/>
      <w:numFmt w:val="lowerRoman"/>
      <w:start w:val="1"/>
    </w:lvl>
  </w:abstractNum>
  <w:abstractNum w:abstractNumId="204">
    <w:nsid w:val="1DE8725A"/>
    <w:multiLevelType w:val="hybridMultilevel"/>
    <w:lvl w:ilvl="0">
      <w:lvlJc w:val="left"/>
      <w:lvlText w:val="(%1)"/>
      <w:numFmt w:val="lowerLetter"/>
      <w:start w:val="1"/>
    </w:lvl>
  </w:abstractNum>
  <w:abstractNum w:abstractNumId="205">
    <w:nsid w:val="6A37288A"/>
    <w:multiLevelType w:val="hybridMultilevel"/>
    <w:lvl w:ilvl="0">
      <w:lvlJc w:val="left"/>
      <w:lvlText w:val="(%1)"/>
      <w:numFmt w:val="lowerLetter"/>
      <w:start w:val="3"/>
    </w:lvl>
  </w:abstractNum>
  <w:abstractNum w:abstractNumId="206">
    <w:nsid w:val="8F8B73F"/>
    <w:multiLevelType w:val="hybridMultilevel"/>
    <w:lvl w:ilvl="0">
      <w:lvlJc w:val="left"/>
      <w:lvlText w:val="(%1)"/>
      <w:numFmt w:val="lowerLetter"/>
      <w:start w:val="6"/>
    </w:lvl>
  </w:abstractNum>
  <w:abstractNum w:abstractNumId="207">
    <w:nsid w:val="CA6B462"/>
    <w:multiLevelType w:val="hybridMultilevel"/>
    <w:lvl w:ilvl="0">
      <w:lvlJc w:val="left"/>
      <w:lvlText w:val="%1"/>
      <w:numFmt w:val="upperLetter"/>
      <w:start w:val="1"/>
    </w:lvl>
    <w:lvl w:ilvl="1">
      <w:lvlJc w:val="left"/>
      <w:lvlText w:val="(%2)"/>
      <w:numFmt w:val="lowerLetter"/>
      <w:start w:val="8"/>
    </w:lvl>
  </w:abstractNum>
  <w:abstractNum w:abstractNumId="208">
    <w:nsid w:val="763CB680"/>
    <w:multiLevelType w:val="hybridMultilevel"/>
    <w:lvl w:ilvl="0">
      <w:lvlJc w:val="left"/>
      <w:lvlText w:val="(%1)"/>
      <w:numFmt w:val="upperLetter"/>
      <w:start w:val="4"/>
    </w:lvl>
    <w:lvl w:ilvl="1">
      <w:lvlJc w:val="left"/>
      <w:lvlText w:val="%2"/>
      <w:numFmt w:val="lowerLetter"/>
      <w:start w:val="1"/>
    </w:lvl>
  </w:abstractNum>
  <w:abstractNum w:abstractNumId="209">
    <w:nsid w:val="15B71329"/>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2026-06-04T11:17:37Z</dcterms:created>
  <dcterms:modified xsi:type="dcterms:W3CDTF">2026-06-04T11:17:37Z</dcterms:modified>
</cp:coreProperties>
</file>